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44461" w14:textId="7F530A21" w:rsidR="005A4986" w:rsidRDefault="0089620B" w:rsidP="00045E93">
      <w:pPr>
        <w:pStyle w:val="Heading3"/>
        <w:spacing w:before="100"/>
        <w:ind w:left="-426"/>
      </w:pPr>
      <w:bookmarkStart w:id="0" w:name="_A7_-_Key"/>
      <w:bookmarkStart w:id="1" w:name="_Toc471813460"/>
      <w:bookmarkEnd w:id="0"/>
      <w:r>
        <w:t xml:space="preserve">A7 - </w:t>
      </w:r>
      <w:r w:rsidR="00B4055C">
        <w:t>Key biosecurity fora of relevance for GIA</w:t>
      </w:r>
      <w:bookmarkEnd w:id="1"/>
    </w:p>
    <w:p w14:paraId="59F3B3BA" w14:textId="2D5B7F9B" w:rsidR="00B82DA3" w:rsidRPr="00B82DA3" w:rsidRDefault="00B82DA3" w:rsidP="00045E93">
      <w:pPr>
        <w:spacing w:after="0" w:line="240" w:lineRule="auto"/>
        <w:ind w:left="-426"/>
        <w:rPr>
          <w:rFonts w:ascii="Calibri" w:hAnsi="Calibri" w:cs="Times New Roman"/>
        </w:rPr>
      </w:pPr>
      <w:r w:rsidRPr="00E15787">
        <w:rPr>
          <w:rFonts w:ascii="Calibri" w:hAnsi="Calibri" w:cs="Times New Roman"/>
        </w:rPr>
        <w:t xml:space="preserve">The GIA Deed identifies specific engagement fora for GIA </w:t>
      </w:r>
      <w:r>
        <w:rPr>
          <w:rFonts w:ascii="Calibri" w:hAnsi="Calibri" w:cs="Times New Roman"/>
        </w:rPr>
        <w:t>Partners</w:t>
      </w:r>
      <w:r w:rsidRPr="00E15787">
        <w:rPr>
          <w:rFonts w:ascii="Calibri" w:hAnsi="Calibri" w:cs="Times New Roman"/>
        </w:rPr>
        <w:t xml:space="preserve"> to discuss biosecurity matters. </w:t>
      </w:r>
      <w:r>
        <w:rPr>
          <w:rFonts w:ascii="Calibri" w:hAnsi="Calibri" w:cs="Times New Roman"/>
        </w:rPr>
        <w:t xml:space="preserve">Table One (below) </w:t>
      </w:r>
      <w:r w:rsidRPr="00E15787">
        <w:rPr>
          <w:rFonts w:ascii="Calibri" w:hAnsi="Calibri" w:cs="Times New Roman"/>
        </w:rPr>
        <w:t>provides information on these</w:t>
      </w:r>
      <w:r>
        <w:rPr>
          <w:rFonts w:ascii="Calibri" w:hAnsi="Calibri" w:cs="Times New Roman"/>
        </w:rPr>
        <w:t xml:space="preserve"> </w:t>
      </w:r>
      <w:r w:rsidRPr="00E15787">
        <w:rPr>
          <w:rFonts w:ascii="Calibri" w:hAnsi="Calibri" w:cs="Times New Roman"/>
        </w:rPr>
        <w:t>GIA specific fora.</w:t>
      </w:r>
      <w:r>
        <w:rPr>
          <w:rFonts w:ascii="Calibri" w:hAnsi="Calibri" w:cs="Times New Roman"/>
        </w:rPr>
        <w:t xml:space="preserve"> </w:t>
      </w:r>
      <w:r w:rsidRPr="00674180">
        <w:rPr>
          <w:rFonts w:ascii="Calibri" w:hAnsi="Calibri" w:cs="Times New Roman"/>
        </w:rPr>
        <w:t>Table Two</w:t>
      </w:r>
      <w:r w:rsidRPr="00E15787">
        <w:rPr>
          <w:rFonts w:ascii="Calibri" w:hAnsi="Calibri" w:cs="Times New Roman"/>
        </w:rPr>
        <w:t xml:space="preserve"> list</w:t>
      </w:r>
      <w:r>
        <w:rPr>
          <w:rFonts w:ascii="Calibri" w:hAnsi="Calibri" w:cs="Times New Roman"/>
        </w:rPr>
        <w:t>s</w:t>
      </w:r>
      <w:r w:rsidRPr="00E15787">
        <w:rPr>
          <w:rFonts w:ascii="Calibri" w:hAnsi="Calibri" w:cs="Times New Roman"/>
        </w:rPr>
        <w:t xml:space="preserve"> other key fora which have wider membership than GIA </w:t>
      </w:r>
      <w:r>
        <w:rPr>
          <w:rFonts w:ascii="Calibri" w:hAnsi="Calibri" w:cs="Times New Roman"/>
        </w:rPr>
        <w:t>Partners</w:t>
      </w:r>
      <w:r w:rsidRPr="00E15787">
        <w:rPr>
          <w:rFonts w:ascii="Calibri" w:hAnsi="Calibri" w:cs="Times New Roman"/>
        </w:rPr>
        <w:t>, but that provide important opportunities for MPI and industry to identify, discuss and work together on biosecurity system</w:t>
      </w:r>
      <w:r>
        <w:rPr>
          <w:rFonts w:ascii="Calibri" w:hAnsi="Calibri" w:cs="Times New Roman"/>
        </w:rPr>
        <w:t xml:space="preserve"> activities</w:t>
      </w:r>
      <w:r w:rsidRPr="00E15787">
        <w:rPr>
          <w:rFonts w:ascii="Calibri" w:hAnsi="Calibri" w:cs="Times New Roman"/>
        </w:rPr>
        <w:t xml:space="preserve"> of mutual interest. </w:t>
      </w:r>
    </w:p>
    <w:p w14:paraId="1FAB47AE" w14:textId="77777777" w:rsidR="00B82DA3" w:rsidRDefault="00B82DA3" w:rsidP="00B4055C">
      <w:pPr>
        <w:rPr>
          <w:b/>
          <w:sz w:val="24"/>
          <w:szCs w:val="24"/>
        </w:rPr>
      </w:pPr>
      <w:bookmarkStart w:id="2" w:name="_GoBack"/>
      <w:bookmarkEnd w:id="2"/>
    </w:p>
    <w:p w14:paraId="45408DC2" w14:textId="08E99EE1" w:rsidR="00B4055C" w:rsidRPr="00B82DA3" w:rsidRDefault="00B82DA3" w:rsidP="00B82DA3">
      <w:pPr>
        <w:ind w:left="-426"/>
        <w:rPr>
          <w:b/>
          <w:sz w:val="24"/>
          <w:szCs w:val="24"/>
        </w:rPr>
      </w:pPr>
      <w:r w:rsidRPr="00B82DA3">
        <w:rPr>
          <w:b/>
          <w:sz w:val="24"/>
          <w:szCs w:val="24"/>
        </w:rPr>
        <w:t xml:space="preserve">Table One - </w:t>
      </w:r>
      <w:r w:rsidR="001631A1" w:rsidRPr="00B82DA3">
        <w:rPr>
          <w:b/>
          <w:sz w:val="24"/>
          <w:szCs w:val="24"/>
        </w:rPr>
        <w:t xml:space="preserve">Specific engagement fora for </w:t>
      </w:r>
      <w:r w:rsidR="003944D3" w:rsidRPr="00B82DA3">
        <w:rPr>
          <w:b/>
          <w:sz w:val="24"/>
          <w:szCs w:val="24"/>
        </w:rPr>
        <w:t xml:space="preserve">GIA </w:t>
      </w:r>
      <w:r w:rsidR="00115A13" w:rsidRPr="00B82DA3">
        <w:rPr>
          <w:b/>
          <w:sz w:val="24"/>
          <w:szCs w:val="24"/>
        </w:rPr>
        <w:t>Partners</w:t>
      </w:r>
    </w:p>
    <w:tbl>
      <w:tblPr>
        <w:tblStyle w:val="TableGrid"/>
        <w:tblW w:w="21831" w:type="dxa"/>
        <w:tblInd w:w="-431" w:type="dxa"/>
        <w:tblLook w:val="04A0" w:firstRow="1" w:lastRow="0" w:firstColumn="1" w:lastColumn="0" w:noHBand="0" w:noVBand="1"/>
      </w:tblPr>
      <w:tblGrid>
        <w:gridCol w:w="2439"/>
        <w:gridCol w:w="4224"/>
        <w:gridCol w:w="2410"/>
        <w:gridCol w:w="3686"/>
        <w:gridCol w:w="2835"/>
        <w:gridCol w:w="3260"/>
        <w:gridCol w:w="2977"/>
      </w:tblGrid>
      <w:tr w:rsidR="005A4986" w:rsidRPr="006951E7" w14:paraId="3B8A715F" w14:textId="77777777" w:rsidTr="00601087">
        <w:tc>
          <w:tcPr>
            <w:tcW w:w="2439" w:type="dxa"/>
            <w:shd w:val="clear" w:color="auto" w:fill="F2F2F2" w:themeFill="background1" w:themeFillShade="F2"/>
          </w:tcPr>
          <w:p w14:paraId="53A02E14" w14:textId="77777777" w:rsidR="005A4986" w:rsidRPr="005C79E3" w:rsidRDefault="005A4986" w:rsidP="00947193">
            <w:pPr>
              <w:rPr>
                <w:b/>
              </w:rPr>
            </w:pPr>
            <w:r w:rsidRPr="005C79E3">
              <w:rPr>
                <w:b/>
              </w:rPr>
              <w:t>Forum</w:t>
            </w:r>
          </w:p>
        </w:tc>
        <w:tc>
          <w:tcPr>
            <w:tcW w:w="4224" w:type="dxa"/>
            <w:shd w:val="clear" w:color="auto" w:fill="F2F2F2" w:themeFill="background1" w:themeFillShade="F2"/>
          </w:tcPr>
          <w:p w14:paraId="4314A43C" w14:textId="77777777" w:rsidR="005A4986" w:rsidRPr="005C79E3" w:rsidRDefault="005A4986" w:rsidP="00947193">
            <w:pPr>
              <w:rPr>
                <w:b/>
              </w:rPr>
            </w:pPr>
            <w:r w:rsidRPr="005C79E3">
              <w:rPr>
                <w:b/>
              </w:rPr>
              <w:t>Purpose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9ED6C04" w14:textId="77777777" w:rsidR="005A4986" w:rsidRPr="005C79E3" w:rsidRDefault="005A4986" w:rsidP="00947193">
            <w:pPr>
              <w:rPr>
                <w:b/>
              </w:rPr>
            </w:pPr>
            <w:r w:rsidRPr="005C79E3">
              <w:rPr>
                <w:b/>
              </w:rPr>
              <w:t>Lead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4557D3D" w14:textId="77777777" w:rsidR="005A4986" w:rsidRPr="005C79E3" w:rsidRDefault="005A4986" w:rsidP="00947193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EB27850" w14:textId="77777777" w:rsidR="005A4986" w:rsidRPr="005C79E3" w:rsidRDefault="005A4986" w:rsidP="00947193">
            <w:pPr>
              <w:rPr>
                <w:b/>
              </w:rPr>
            </w:pPr>
            <w:r w:rsidRPr="005C79E3">
              <w:rPr>
                <w:b/>
              </w:rPr>
              <w:t xml:space="preserve">Frequency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FBE3EF2" w14:textId="77777777" w:rsidR="005A4986" w:rsidRPr="005C79E3" w:rsidRDefault="005A4986" w:rsidP="00947193">
            <w:pPr>
              <w:rPr>
                <w:b/>
              </w:rPr>
            </w:pPr>
            <w:r>
              <w:rPr>
                <w:b/>
              </w:rPr>
              <w:t>Reporting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081B85B" w14:textId="77777777" w:rsidR="005A4986" w:rsidRDefault="005A4986" w:rsidP="00947193">
            <w:pPr>
              <w:rPr>
                <w:b/>
              </w:rPr>
            </w:pPr>
            <w:r>
              <w:rPr>
                <w:b/>
              </w:rPr>
              <w:t>More info</w:t>
            </w:r>
          </w:p>
        </w:tc>
      </w:tr>
      <w:tr w:rsidR="005A4986" w:rsidRPr="006951E7" w14:paraId="34C37EE7" w14:textId="77777777" w:rsidTr="00601087">
        <w:tc>
          <w:tcPr>
            <w:tcW w:w="2439" w:type="dxa"/>
          </w:tcPr>
          <w:p w14:paraId="492C1C28" w14:textId="43ECFDD6" w:rsidR="005A4986" w:rsidRPr="00065667" w:rsidRDefault="003955D0" w:rsidP="00947193">
            <w:pPr>
              <w:rPr>
                <w:b/>
              </w:rPr>
            </w:pPr>
            <w:r>
              <w:rPr>
                <w:b/>
              </w:rPr>
              <w:t xml:space="preserve">GIA </w:t>
            </w:r>
            <w:r w:rsidR="005A4986">
              <w:rPr>
                <w:b/>
              </w:rPr>
              <w:t>Deed Governance Group</w:t>
            </w:r>
            <w:r w:rsidR="00CC6FC0">
              <w:rPr>
                <w:b/>
              </w:rPr>
              <w:t xml:space="preserve"> (DGG)</w:t>
            </w:r>
          </w:p>
        </w:tc>
        <w:tc>
          <w:tcPr>
            <w:tcW w:w="4224" w:type="dxa"/>
          </w:tcPr>
          <w:p w14:paraId="538F5909" w14:textId="77777777" w:rsidR="00F95C07" w:rsidRDefault="00F95C07" w:rsidP="00947193">
            <w:r>
              <w:t>The ultimate decision making body for GIA.</w:t>
            </w:r>
          </w:p>
          <w:p w14:paraId="62093300" w14:textId="77777777" w:rsidR="00F95C07" w:rsidRDefault="00F95C07" w:rsidP="00947193"/>
          <w:p w14:paraId="3C4111C8" w14:textId="711D5F0B" w:rsidR="005A4986" w:rsidRPr="007755A0" w:rsidRDefault="00F95C07" w:rsidP="00947193">
            <w:r>
              <w:t>The ‘owners’ of the GIA partnership, the Deed and GIA ‘assets’</w:t>
            </w:r>
            <w:r w:rsidR="005A4986">
              <w:t xml:space="preserve"> </w:t>
            </w:r>
          </w:p>
        </w:tc>
        <w:tc>
          <w:tcPr>
            <w:tcW w:w="2410" w:type="dxa"/>
          </w:tcPr>
          <w:p w14:paraId="27540B09" w14:textId="77777777" w:rsidR="005A4986" w:rsidRPr="007755A0" w:rsidRDefault="005A4986" w:rsidP="00947193">
            <w:r>
              <w:t>Geoff Gywn, MPI (Chair)</w:t>
            </w:r>
          </w:p>
        </w:tc>
        <w:tc>
          <w:tcPr>
            <w:tcW w:w="3686" w:type="dxa"/>
          </w:tcPr>
          <w:p w14:paraId="7D73EF33" w14:textId="7F2FA791" w:rsidR="00EB3A4E" w:rsidRDefault="005A4986" w:rsidP="00947193">
            <w:r w:rsidRPr="00EB3A4E">
              <w:rPr>
                <w:b/>
              </w:rPr>
              <w:t>Members:</w:t>
            </w:r>
            <w:r w:rsidR="00E06082">
              <w:t xml:space="preserve"> One</w:t>
            </w:r>
            <w:r>
              <w:t xml:space="preserve"> representative from each GIA </w:t>
            </w:r>
            <w:r w:rsidR="00EB3A4E">
              <w:t>Partner.</w:t>
            </w:r>
          </w:p>
          <w:p w14:paraId="674117B8" w14:textId="45C917AE" w:rsidR="00EB3A4E" w:rsidRDefault="00EB3A4E" w:rsidP="00947193">
            <w:r w:rsidRPr="00EB3A4E">
              <w:rPr>
                <w:b/>
              </w:rPr>
              <w:t>Observers:</w:t>
            </w:r>
            <w:r>
              <w:t xml:space="preserve"> as determined by </w:t>
            </w:r>
            <w:r w:rsidR="005A4986">
              <w:t>DGG members</w:t>
            </w:r>
          </w:p>
          <w:p w14:paraId="4001B04F" w14:textId="77777777" w:rsidR="005A4986" w:rsidRPr="007755A0" w:rsidRDefault="005A4986" w:rsidP="00947193">
            <w:r w:rsidRPr="00EB3A4E">
              <w:rPr>
                <w:b/>
              </w:rPr>
              <w:t xml:space="preserve">Administration: </w:t>
            </w:r>
            <w:r>
              <w:t>GIA Secretariat</w:t>
            </w:r>
          </w:p>
        </w:tc>
        <w:tc>
          <w:tcPr>
            <w:tcW w:w="2835" w:type="dxa"/>
          </w:tcPr>
          <w:p w14:paraId="1BD58D36" w14:textId="5EDDE0DD" w:rsidR="005A4986" w:rsidRPr="007755A0" w:rsidRDefault="00EB52BB" w:rsidP="00EB52BB">
            <w:r>
              <w:t xml:space="preserve">Bi-annually – generally through the GIA Biosecurity Forum </w:t>
            </w:r>
            <w:r w:rsidR="000F4DC9">
              <w:t>(refer below)</w:t>
            </w:r>
          </w:p>
        </w:tc>
        <w:tc>
          <w:tcPr>
            <w:tcW w:w="3260" w:type="dxa"/>
          </w:tcPr>
          <w:p w14:paraId="6A97012B" w14:textId="77777777" w:rsidR="005A4986" w:rsidRDefault="005A4986" w:rsidP="00947193">
            <w:r>
              <w:t>GIA website – includes GIA Secretariat Annual Report</w:t>
            </w:r>
          </w:p>
          <w:p w14:paraId="75D2CBBD" w14:textId="77777777" w:rsidR="00CC6FC0" w:rsidRDefault="00CC6FC0" w:rsidP="00947193"/>
          <w:p w14:paraId="3D9A59FB" w14:textId="4D0DE341" w:rsidR="005A4986" w:rsidRPr="007755A0" w:rsidRDefault="005A4986" w:rsidP="00947193">
            <w:r w:rsidRPr="006951E7">
              <w:t xml:space="preserve">GIA newsletter (subscribe from </w:t>
            </w:r>
            <w:hyperlink r:id="rId11" w:history="1">
              <w:r w:rsidRPr="007164A9">
                <w:rPr>
                  <w:rStyle w:val="Hyperlink"/>
                </w:rPr>
                <w:t>www.gia.org.nz</w:t>
              </w:r>
            </w:hyperlink>
            <w:r w:rsidRPr="006951E7">
              <w:t>)</w:t>
            </w:r>
          </w:p>
        </w:tc>
        <w:tc>
          <w:tcPr>
            <w:tcW w:w="2977" w:type="dxa"/>
          </w:tcPr>
          <w:p w14:paraId="657AD829" w14:textId="202FB378" w:rsidR="005A4986" w:rsidRPr="00F63510" w:rsidRDefault="005A4986" w:rsidP="00F63510">
            <w:pPr>
              <w:rPr>
                <w:color w:val="FF0000"/>
              </w:rPr>
            </w:pPr>
            <w:r w:rsidRPr="007755A0">
              <w:t xml:space="preserve">GIA website </w:t>
            </w:r>
            <w:hyperlink r:id="rId12" w:history="1">
              <w:r w:rsidRPr="007755A0">
                <w:rPr>
                  <w:rStyle w:val="Hyperlink"/>
                </w:rPr>
                <w:t>here</w:t>
              </w:r>
            </w:hyperlink>
            <w:r w:rsidR="007E6329">
              <w:rPr>
                <w:color w:val="FF0000"/>
              </w:rPr>
              <w:t xml:space="preserve"> </w:t>
            </w:r>
          </w:p>
        </w:tc>
      </w:tr>
      <w:tr w:rsidR="007E6329" w:rsidRPr="006951E7" w14:paraId="66C4A5AE" w14:textId="77777777" w:rsidTr="00601087"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3B556E4C" w14:textId="3D578800" w:rsidR="007E6329" w:rsidRDefault="007E6329" w:rsidP="002311BE">
            <w:pPr>
              <w:rPr>
                <w:b/>
              </w:rPr>
            </w:pPr>
            <w:r>
              <w:rPr>
                <w:b/>
              </w:rPr>
              <w:t>GIA Executive Committee (EC)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57752762" w14:textId="77777777" w:rsidR="007E6329" w:rsidRPr="006951E7" w:rsidRDefault="007E6329" w:rsidP="002311BE">
            <w:r>
              <w:t>To govern the day-to-day operations of GIA on behalf of the DGG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474C945" w14:textId="77777777" w:rsidR="007E6329" w:rsidRPr="006951E7" w:rsidRDefault="007E6329" w:rsidP="002311BE">
            <w:r>
              <w:t>As appointed by the EC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F5A40C5" w14:textId="77777777" w:rsidR="007E6329" w:rsidRPr="006951E7" w:rsidRDefault="007E6329" w:rsidP="002311BE">
            <w:r>
              <w:t>3-5 nominated members of the GIA DGG. Standing invitation for any other GIA DGG members to attend.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73A433" w14:textId="77777777" w:rsidR="007E6329" w:rsidRDefault="007E6329" w:rsidP="002311BE">
            <w:r>
              <w:t>Approx. 6 times/year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36F222C" w14:textId="5EB828EC" w:rsidR="007E6329" w:rsidRDefault="007E6329" w:rsidP="002311BE">
            <w:r>
              <w:t>Agendas and minutes of all EC meeti</w:t>
            </w:r>
            <w:r w:rsidR="00DE73DB">
              <w:t>ngs will be sent to DGG members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1CFB2B4" w14:textId="4D6F74F3" w:rsidR="007E6329" w:rsidRDefault="007E6329" w:rsidP="007E6329">
            <w:pPr>
              <w:rPr>
                <w:color w:val="FF0000"/>
              </w:rPr>
            </w:pPr>
            <w:r>
              <w:t xml:space="preserve">GIA website </w:t>
            </w:r>
            <w:hyperlink r:id="rId13" w:history="1">
              <w:r w:rsidR="00F63510" w:rsidRPr="00F63510">
                <w:rPr>
                  <w:rStyle w:val="Hyperlink"/>
                </w:rPr>
                <w:t>here</w:t>
              </w:r>
            </w:hyperlink>
          </w:p>
          <w:p w14:paraId="646CFA62" w14:textId="77777777" w:rsidR="007E6329" w:rsidRDefault="007E6329" w:rsidP="007E6329">
            <w:pPr>
              <w:rPr>
                <w:color w:val="FF0000"/>
              </w:rPr>
            </w:pPr>
          </w:p>
          <w:p w14:paraId="097EF689" w14:textId="6FB68F20" w:rsidR="00DE73DB" w:rsidRPr="00601087" w:rsidRDefault="00DE73DB" w:rsidP="007E6329">
            <w:pPr>
              <w:rPr>
                <w:color w:val="FF0000"/>
              </w:rPr>
            </w:pPr>
          </w:p>
        </w:tc>
      </w:tr>
      <w:tr w:rsidR="005A4986" w:rsidRPr="006951E7" w14:paraId="1CC3A0B0" w14:textId="77777777" w:rsidTr="00601087"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2644CF09" w14:textId="0EFB809E" w:rsidR="005A4986" w:rsidRPr="00065667" w:rsidRDefault="00CD67A8" w:rsidP="00947193">
            <w:pPr>
              <w:rPr>
                <w:b/>
              </w:rPr>
            </w:pPr>
            <w:r>
              <w:rPr>
                <w:b/>
              </w:rPr>
              <w:t>GIA Biosecurity Fora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38C744D7" w14:textId="2A5E454B" w:rsidR="005A4986" w:rsidRPr="006951E7" w:rsidRDefault="005A4986" w:rsidP="00947193">
            <w:r w:rsidRPr="006951E7">
              <w:t xml:space="preserve">For </w:t>
            </w:r>
            <w:r w:rsidR="00CC6FC0">
              <w:t>Partners</w:t>
            </w:r>
            <w:r w:rsidRPr="006951E7">
              <w:t xml:space="preserve"> to share information and knowledge of the GIA and the biosecurity system </w:t>
            </w:r>
          </w:p>
          <w:p w14:paraId="2D4084BE" w14:textId="77777777" w:rsidR="00EB3A4E" w:rsidRDefault="00EB3A4E" w:rsidP="00947193"/>
          <w:p w14:paraId="4FA8CB44" w14:textId="00400ECA" w:rsidR="005A4986" w:rsidRPr="006951E7" w:rsidRDefault="005A4986" w:rsidP="00CC6FC0">
            <w:r w:rsidRPr="006951E7">
              <w:t xml:space="preserve">The means by which </w:t>
            </w:r>
            <w:r w:rsidR="00CC6FC0">
              <w:t>Partners</w:t>
            </w:r>
            <w:r w:rsidRPr="006951E7">
              <w:t xml:space="preserve"> will work together to enhance the biosecurity system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8ABD68" w14:textId="77777777" w:rsidR="005A4986" w:rsidRPr="006951E7" w:rsidRDefault="005A4986" w:rsidP="00947193">
            <w:r w:rsidRPr="006951E7">
              <w:t>GIA Secretariat Manager</w:t>
            </w:r>
          </w:p>
          <w:p w14:paraId="7A91001E" w14:textId="77777777" w:rsidR="005A4986" w:rsidRPr="006951E7" w:rsidRDefault="005A4986" w:rsidP="00947193"/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4421C7E" w14:textId="39A1951D" w:rsidR="00EB52BB" w:rsidRDefault="00EB52BB" w:rsidP="00215A9B">
            <w:r>
              <w:t>Representatives from GIA Partner organisations</w:t>
            </w:r>
          </w:p>
          <w:p w14:paraId="776E5348" w14:textId="77777777" w:rsidR="00EB52BB" w:rsidRDefault="00EB52BB" w:rsidP="00215A9B"/>
          <w:p w14:paraId="27BE67BA" w14:textId="5E7DD842" w:rsidR="005A4986" w:rsidRPr="006951E7" w:rsidRDefault="00EB52BB" w:rsidP="00215A9B">
            <w:r>
              <w:t>Observers as agreed by DGG members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9E028B" w14:textId="5ABAC985" w:rsidR="005A4986" w:rsidRPr="006951E7" w:rsidRDefault="00CC6FC0" w:rsidP="00CC6FC0">
            <w:r>
              <w:t>Bi-annual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ED45C46" w14:textId="77777777" w:rsidR="005A4986" w:rsidRDefault="005A4986" w:rsidP="00947193">
            <w:r>
              <w:t>GIA website</w:t>
            </w:r>
          </w:p>
          <w:p w14:paraId="4AD1CBCE" w14:textId="77777777" w:rsidR="00CC6FC0" w:rsidRDefault="00CC6FC0" w:rsidP="00947193"/>
          <w:p w14:paraId="53E4B1BC" w14:textId="77777777" w:rsidR="005A4986" w:rsidRPr="006951E7" w:rsidRDefault="005A4986" w:rsidP="00947193">
            <w:r w:rsidRPr="006951E7">
              <w:t xml:space="preserve">GIA newsletter (subscribe from </w:t>
            </w:r>
            <w:hyperlink r:id="rId14" w:history="1">
              <w:r w:rsidRPr="007164A9">
                <w:rPr>
                  <w:rStyle w:val="Hyperlink"/>
                </w:rPr>
                <w:t>www.gia.org.nz</w:t>
              </w:r>
            </w:hyperlink>
            <w:r w:rsidRPr="006951E7"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C22642" w14:textId="657C22C1" w:rsidR="007E6329" w:rsidRPr="00F63510" w:rsidRDefault="005A4986" w:rsidP="00947193">
            <w:pPr>
              <w:rPr>
                <w:color w:val="0563C1" w:themeColor="hyperlink"/>
                <w:u w:val="single"/>
              </w:rPr>
            </w:pPr>
            <w:r>
              <w:t xml:space="preserve">GIA website </w:t>
            </w:r>
            <w:hyperlink r:id="rId15" w:history="1">
              <w:r w:rsidRPr="007755A0">
                <w:rPr>
                  <w:rStyle w:val="Hyperlink"/>
                </w:rPr>
                <w:t>h</w:t>
              </w:r>
              <w:r w:rsidRPr="007755A0">
                <w:rPr>
                  <w:rStyle w:val="Hyperlink"/>
                </w:rPr>
                <w:t>e</w:t>
              </w:r>
              <w:r w:rsidRPr="007755A0">
                <w:rPr>
                  <w:rStyle w:val="Hyperlink"/>
                </w:rPr>
                <w:t>re</w:t>
              </w:r>
            </w:hyperlink>
          </w:p>
          <w:p w14:paraId="5FAF8B11" w14:textId="77777777" w:rsidR="00DE73DB" w:rsidRDefault="00DE73DB" w:rsidP="00947193"/>
          <w:p w14:paraId="5C50A480" w14:textId="77777777" w:rsidR="005A4986" w:rsidRPr="006951E7" w:rsidRDefault="005A4986" w:rsidP="00947193"/>
        </w:tc>
      </w:tr>
      <w:tr w:rsidR="001567A9" w:rsidRPr="003944D3" w14:paraId="61114514" w14:textId="77777777" w:rsidTr="00601087">
        <w:trPr>
          <w:trHeight w:val="1922"/>
        </w:trPr>
        <w:tc>
          <w:tcPr>
            <w:tcW w:w="2439" w:type="dxa"/>
          </w:tcPr>
          <w:p w14:paraId="44474EA3" w14:textId="0C51E850" w:rsidR="001567A9" w:rsidRPr="003944D3" w:rsidRDefault="001567A9" w:rsidP="002311BE">
            <w:pPr>
              <w:rPr>
                <w:b/>
              </w:rPr>
            </w:pPr>
            <w:r w:rsidRPr="003944D3">
              <w:rPr>
                <w:b/>
              </w:rPr>
              <w:t>Annual meeting between MPI and each individual</w:t>
            </w:r>
            <w:r>
              <w:rPr>
                <w:b/>
              </w:rPr>
              <w:t xml:space="preserve"> GIA Partner</w:t>
            </w:r>
          </w:p>
        </w:tc>
        <w:tc>
          <w:tcPr>
            <w:tcW w:w="4224" w:type="dxa"/>
          </w:tcPr>
          <w:p w14:paraId="7EA08BE4" w14:textId="77777777" w:rsidR="001567A9" w:rsidRPr="003944D3" w:rsidRDefault="001567A9" w:rsidP="002311BE">
            <w:r w:rsidRPr="003944D3">
              <w:t>To provide a report of general and industry-specific biosecurity risk management outcomes.</w:t>
            </w:r>
          </w:p>
          <w:p w14:paraId="7023B15F" w14:textId="77777777" w:rsidR="001567A9" w:rsidRPr="003944D3" w:rsidRDefault="001567A9" w:rsidP="002311BE"/>
          <w:p w14:paraId="245879FB" w14:textId="77777777" w:rsidR="001567A9" w:rsidRPr="003944D3" w:rsidRDefault="001567A9" w:rsidP="002311BE">
            <w:r w:rsidRPr="003944D3">
              <w:t xml:space="preserve">To enable bilateral discussions on the biosecurity risks for the </w:t>
            </w:r>
            <w:r>
              <w:t>sector</w:t>
            </w:r>
            <w:r w:rsidRPr="003944D3">
              <w:t xml:space="preserve"> and their management.</w:t>
            </w:r>
          </w:p>
        </w:tc>
        <w:tc>
          <w:tcPr>
            <w:tcW w:w="2410" w:type="dxa"/>
            <w:shd w:val="clear" w:color="auto" w:fill="auto"/>
          </w:tcPr>
          <w:p w14:paraId="714C5E62" w14:textId="77777777" w:rsidR="001567A9" w:rsidRPr="003944D3" w:rsidRDefault="001567A9" w:rsidP="002311BE">
            <w:r w:rsidRPr="003944D3">
              <w:t>MPI</w:t>
            </w:r>
            <w:r>
              <w:t xml:space="preserve"> senior leader (TBC),</w:t>
            </w:r>
          </w:p>
          <w:p w14:paraId="19CDCB64" w14:textId="77777777" w:rsidR="001567A9" w:rsidRDefault="001567A9" w:rsidP="002311BE"/>
          <w:p w14:paraId="0700837D" w14:textId="77777777" w:rsidR="001567A9" w:rsidRPr="003944D3" w:rsidRDefault="001567A9" w:rsidP="002311BE">
            <w:r>
              <w:t>GIA P</w:t>
            </w:r>
            <w:r w:rsidRPr="003944D3">
              <w:t>artner sector representative</w:t>
            </w:r>
          </w:p>
        </w:tc>
        <w:tc>
          <w:tcPr>
            <w:tcW w:w="3686" w:type="dxa"/>
            <w:shd w:val="clear" w:color="auto" w:fill="auto"/>
          </w:tcPr>
          <w:p w14:paraId="39C102D1" w14:textId="77777777" w:rsidR="001567A9" w:rsidRPr="003944D3" w:rsidRDefault="001567A9" w:rsidP="002311BE">
            <w:r w:rsidRPr="003944D3">
              <w:t>As agreed between parties</w:t>
            </w:r>
          </w:p>
        </w:tc>
        <w:tc>
          <w:tcPr>
            <w:tcW w:w="2835" w:type="dxa"/>
          </w:tcPr>
          <w:p w14:paraId="3C95CC71" w14:textId="77777777" w:rsidR="001567A9" w:rsidRPr="003944D3" w:rsidRDefault="001567A9" w:rsidP="002311BE">
            <w:r w:rsidRPr="003944D3">
              <w:t>Annually</w:t>
            </w:r>
          </w:p>
        </w:tc>
        <w:tc>
          <w:tcPr>
            <w:tcW w:w="3260" w:type="dxa"/>
            <w:shd w:val="clear" w:color="auto" w:fill="auto"/>
          </w:tcPr>
          <w:p w14:paraId="59D0CD96" w14:textId="77777777" w:rsidR="001567A9" w:rsidRPr="003944D3" w:rsidRDefault="001567A9" w:rsidP="002311BE">
            <w:r w:rsidRPr="003944D3">
              <w:t>As agreed between parties</w:t>
            </w:r>
          </w:p>
        </w:tc>
        <w:tc>
          <w:tcPr>
            <w:tcW w:w="2977" w:type="dxa"/>
          </w:tcPr>
          <w:p w14:paraId="204A64FF" w14:textId="0E8255F2" w:rsidR="001567A9" w:rsidRPr="003944D3" w:rsidRDefault="000741C6" w:rsidP="002311BE">
            <w:r>
              <w:t>Refer GIA Deed on the GIA website</w:t>
            </w:r>
          </w:p>
        </w:tc>
      </w:tr>
      <w:tr w:rsidR="00E06082" w:rsidRPr="003944D3" w14:paraId="77D1BB3F" w14:textId="77777777" w:rsidTr="00601087">
        <w:trPr>
          <w:trHeight w:val="1538"/>
        </w:trPr>
        <w:tc>
          <w:tcPr>
            <w:tcW w:w="2439" w:type="dxa"/>
          </w:tcPr>
          <w:p w14:paraId="13F786FF" w14:textId="1006A354" w:rsidR="00E06082" w:rsidRPr="003944D3" w:rsidRDefault="00E06082" w:rsidP="002311BE">
            <w:pPr>
              <w:rPr>
                <w:b/>
              </w:rPr>
            </w:pPr>
            <w:r>
              <w:rPr>
                <w:b/>
              </w:rPr>
              <w:t>Sector-based Councils (SBCs)</w:t>
            </w:r>
          </w:p>
        </w:tc>
        <w:tc>
          <w:tcPr>
            <w:tcW w:w="4224" w:type="dxa"/>
          </w:tcPr>
          <w:p w14:paraId="79F5F950" w14:textId="7514648B" w:rsidR="00E06082" w:rsidRPr="00E06082" w:rsidRDefault="00E06082" w:rsidP="00E06082">
            <w:r>
              <w:t>Convenient bodies to coordinate activities across a range of Signatories and Operational Agreements within allied sectors</w:t>
            </w:r>
          </w:p>
        </w:tc>
        <w:tc>
          <w:tcPr>
            <w:tcW w:w="2410" w:type="dxa"/>
            <w:shd w:val="clear" w:color="auto" w:fill="auto"/>
          </w:tcPr>
          <w:p w14:paraId="6FFCE8EE" w14:textId="2ADCE439" w:rsidR="00E06082" w:rsidRPr="003944D3" w:rsidRDefault="00E06082" w:rsidP="00E06082">
            <w:r>
              <w:t>As appointed by each SBC</w:t>
            </w:r>
          </w:p>
        </w:tc>
        <w:tc>
          <w:tcPr>
            <w:tcW w:w="3686" w:type="dxa"/>
            <w:shd w:val="clear" w:color="auto" w:fill="auto"/>
          </w:tcPr>
          <w:p w14:paraId="396D5D21" w14:textId="77777777" w:rsidR="00E06082" w:rsidRDefault="00E06082" w:rsidP="00E06082">
            <w:r>
              <w:t>To be determined case-by-case</w:t>
            </w:r>
          </w:p>
          <w:p w14:paraId="339A99EC" w14:textId="77777777" w:rsidR="00E06082" w:rsidRDefault="00E06082" w:rsidP="00E06082"/>
          <w:p w14:paraId="5480E254" w14:textId="4FB03372" w:rsidR="00E06082" w:rsidRPr="003944D3" w:rsidRDefault="00E06082" w:rsidP="00A83491">
            <w:r>
              <w:t xml:space="preserve">May include DGG members + non-members; could be made up of representatives from each OA under </w:t>
            </w:r>
            <w:r w:rsidR="00A83491">
              <w:t>the</w:t>
            </w:r>
            <w:r>
              <w:t xml:space="preserve"> umbrella</w:t>
            </w:r>
            <w:r w:rsidR="00A83491">
              <w:t xml:space="preserve"> of the SBC</w:t>
            </w:r>
          </w:p>
        </w:tc>
        <w:tc>
          <w:tcPr>
            <w:tcW w:w="2835" w:type="dxa"/>
          </w:tcPr>
          <w:p w14:paraId="6F7791B2" w14:textId="436231AC" w:rsidR="00E06082" w:rsidRPr="003944D3" w:rsidRDefault="00A83491" w:rsidP="002311BE">
            <w:r>
              <w:t>As defined in the associated TOR</w:t>
            </w:r>
          </w:p>
        </w:tc>
        <w:tc>
          <w:tcPr>
            <w:tcW w:w="3260" w:type="dxa"/>
            <w:shd w:val="clear" w:color="auto" w:fill="auto"/>
          </w:tcPr>
          <w:p w14:paraId="591D4A0E" w14:textId="28C23F5A" w:rsidR="00E06082" w:rsidRPr="003944D3" w:rsidRDefault="00A83491" w:rsidP="002311BE">
            <w:r>
              <w:t>As defined in the associated TOR</w:t>
            </w:r>
          </w:p>
        </w:tc>
        <w:tc>
          <w:tcPr>
            <w:tcW w:w="2977" w:type="dxa"/>
          </w:tcPr>
          <w:p w14:paraId="309777C4" w14:textId="3D96C3D9" w:rsidR="00A83491" w:rsidRDefault="00A83491" w:rsidP="00A83491">
            <w:pPr>
              <w:rPr>
                <w:color w:val="FF0000"/>
              </w:rPr>
            </w:pPr>
            <w:r>
              <w:t xml:space="preserve">GIA website </w:t>
            </w:r>
            <w:hyperlink r:id="rId16" w:history="1">
              <w:r w:rsidR="00F63510" w:rsidRPr="00F63510">
                <w:rPr>
                  <w:rStyle w:val="Hyperlink"/>
                </w:rPr>
                <w:t>here</w:t>
              </w:r>
            </w:hyperlink>
          </w:p>
          <w:p w14:paraId="3DDA5A0B" w14:textId="77777777" w:rsidR="00A83491" w:rsidRDefault="00A83491" w:rsidP="00A83491">
            <w:pPr>
              <w:rPr>
                <w:color w:val="FF0000"/>
              </w:rPr>
            </w:pPr>
          </w:p>
          <w:p w14:paraId="53AEE69B" w14:textId="5F088B54" w:rsidR="00E06082" w:rsidRPr="00601087" w:rsidRDefault="00E06082" w:rsidP="002311BE">
            <w:pPr>
              <w:rPr>
                <w:color w:val="FF0000"/>
              </w:rPr>
            </w:pPr>
          </w:p>
        </w:tc>
      </w:tr>
      <w:tr w:rsidR="005A4986" w:rsidRPr="006951E7" w14:paraId="5B465D53" w14:textId="77777777" w:rsidTr="00601087"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17F83FC7" w14:textId="401FB4F9" w:rsidR="005A4986" w:rsidRPr="00065667" w:rsidRDefault="005A4986" w:rsidP="00947193">
            <w:pPr>
              <w:rPr>
                <w:b/>
              </w:rPr>
            </w:pPr>
            <w:r>
              <w:rPr>
                <w:b/>
              </w:rPr>
              <w:t>Fruit Fly Council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26D0F" w14:textId="7732EF0C" w:rsidR="005A4986" w:rsidRPr="006951E7" w:rsidRDefault="00BB647C" w:rsidP="00947193">
            <w:r>
              <w:t xml:space="preserve">To ensure that the fruit fly OA is managed in an effective and timely manner in accordance with agreed strategic outcomes and principles.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EBE21" w14:textId="5A7E2748" w:rsidR="005A4986" w:rsidRPr="006951E7" w:rsidRDefault="00F17E09" w:rsidP="00947193">
            <w:r>
              <w:t>Barry O’Neil</w:t>
            </w:r>
            <w:r w:rsidR="005A4986">
              <w:t xml:space="preserve"> (Chair)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0BE1E" w14:textId="379CB93D" w:rsidR="005A4986" w:rsidRPr="006951E7" w:rsidRDefault="005A4986" w:rsidP="00052388">
            <w:r>
              <w:t xml:space="preserve">MPI, GIA </w:t>
            </w:r>
            <w:r w:rsidR="00052388">
              <w:t xml:space="preserve">industry </w:t>
            </w:r>
            <w:r w:rsidR="00115A13">
              <w:t>Partners</w:t>
            </w:r>
            <w:r w:rsidR="00052388">
              <w:t xml:space="preserve"> from the </w:t>
            </w:r>
            <w:r>
              <w:t xml:space="preserve">plant sector </w:t>
            </w:r>
            <w:r w:rsidR="00052388">
              <w:t xml:space="preserve">and </w:t>
            </w:r>
            <w:r>
              <w:t>potential Signatory representatives that would be affected by fruit fly, and the GIA Secretariat.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A85B3" w14:textId="77777777" w:rsidR="005A4986" w:rsidRPr="006951E7" w:rsidRDefault="005A4986" w:rsidP="00947193">
            <w:r>
              <w:t>Monthly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80715" w14:textId="77777777" w:rsidR="005A4986" w:rsidRDefault="005A4986" w:rsidP="00947193">
            <w:r>
              <w:t>Meeting notes (attendees only)</w:t>
            </w:r>
          </w:p>
          <w:p w14:paraId="79448F69" w14:textId="77777777" w:rsidR="005A4986" w:rsidRDefault="005A4986" w:rsidP="00947193">
            <w:r>
              <w:t>GIA website</w:t>
            </w:r>
          </w:p>
          <w:p w14:paraId="4E7A47F2" w14:textId="77777777" w:rsidR="00621C06" w:rsidRDefault="00621C06" w:rsidP="00947193"/>
          <w:p w14:paraId="563EA6BB" w14:textId="77777777" w:rsidR="005A4986" w:rsidRPr="006951E7" w:rsidRDefault="005A4986" w:rsidP="00947193">
            <w:r w:rsidRPr="006951E7">
              <w:t xml:space="preserve">GIA newsletter (subscribe from </w:t>
            </w:r>
            <w:hyperlink r:id="rId17" w:history="1">
              <w:r w:rsidRPr="007164A9">
                <w:rPr>
                  <w:rStyle w:val="Hyperlink"/>
                </w:rPr>
                <w:t>www.gia.org.nz</w:t>
              </w:r>
            </w:hyperlink>
            <w:r w:rsidRPr="006951E7"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F29E0" w14:textId="41C263F7" w:rsidR="00732ED7" w:rsidRDefault="005A4986" w:rsidP="00947193">
            <w:r w:rsidRPr="005223B8">
              <w:t xml:space="preserve">GIA website </w:t>
            </w:r>
            <w:hyperlink r:id="rId18" w:history="1">
              <w:r w:rsidRPr="005223B8">
                <w:rPr>
                  <w:rStyle w:val="Hyperlink"/>
                </w:rPr>
                <w:t>he</w:t>
              </w:r>
              <w:r w:rsidRPr="005223B8">
                <w:rPr>
                  <w:rStyle w:val="Hyperlink"/>
                </w:rPr>
                <w:t>r</w:t>
              </w:r>
              <w:r w:rsidRPr="005223B8">
                <w:rPr>
                  <w:rStyle w:val="Hyperlink"/>
                </w:rPr>
                <w:t>e</w:t>
              </w:r>
            </w:hyperlink>
            <w:r w:rsidRPr="005223B8">
              <w:t xml:space="preserve"> (incl. TOR)</w:t>
            </w:r>
          </w:p>
          <w:p w14:paraId="31994A0D" w14:textId="60BAB53B" w:rsidR="00732ED7" w:rsidRDefault="00732ED7" w:rsidP="00732ED7"/>
          <w:p w14:paraId="75C77079" w14:textId="7F32BC34" w:rsidR="00732ED7" w:rsidRDefault="00732ED7" w:rsidP="00732ED7"/>
          <w:p w14:paraId="586B069C" w14:textId="1CE961EB" w:rsidR="005A4986" w:rsidRPr="00732ED7" w:rsidRDefault="00732ED7" w:rsidP="00732ED7">
            <w:pPr>
              <w:tabs>
                <w:tab w:val="left" w:pos="1870"/>
              </w:tabs>
            </w:pPr>
            <w:r>
              <w:tab/>
            </w:r>
          </w:p>
        </w:tc>
      </w:tr>
      <w:tr w:rsidR="005A4986" w:rsidRPr="006951E7" w14:paraId="32B495DF" w14:textId="77777777" w:rsidTr="00601087"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35772905" w14:textId="77777777" w:rsidR="005A4986" w:rsidRDefault="005A4986" w:rsidP="00947193">
            <w:pPr>
              <w:rPr>
                <w:b/>
              </w:rPr>
            </w:pPr>
            <w:r>
              <w:rPr>
                <w:b/>
              </w:rPr>
              <w:t>(Interim) FMD Council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376D85ED" w14:textId="3B85EB44" w:rsidR="005A4986" w:rsidRDefault="005A4986" w:rsidP="00947193">
            <w:r>
              <w:t>To negotiate an FMD operational agreement</w:t>
            </w:r>
            <w:r w:rsidR="00B35BF7">
              <w:t xml:space="preserve"> – to help livestock industries develop a case for obtaining mandate</w:t>
            </w:r>
            <w:r w:rsidR="00DA4263">
              <w:t xml:space="preserve"> </w:t>
            </w:r>
            <w:r w:rsidR="00703785">
              <w:t>fro</w:t>
            </w:r>
            <w:r w:rsidR="00DA4263">
              <w:t>m their sectors to join GIA.</w:t>
            </w:r>
          </w:p>
          <w:p w14:paraId="1CA2C68C" w14:textId="77777777" w:rsidR="00B820F9" w:rsidRDefault="00B820F9" w:rsidP="00947193"/>
          <w:p w14:paraId="7FB79828" w14:textId="328920CF" w:rsidR="005A4986" w:rsidRPr="006951E7" w:rsidRDefault="00DA4263" w:rsidP="00703785">
            <w:r>
              <w:t xml:space="preserve">Once </w:t>
            </w:r>
            <w:r w:rsidRPr="00FC2DC1">
              <w:t xml:space="preserve">the </w:t>
            </w:r>
            <w:r>
              <w:t xml:space="preserve">FMD OA comes into effect, </w:t>
            </w:r>
            <w:r w:rsidR="00B35BF7">
              <w:t xml:space="preserve">the Council will </w:t>
            </w:r>
            <w:r w:rsidR="00703785">
              <w:t xml:space="preserve">likely </w:t>
            </w:r>
            <w:r w:rsidR="00B35BF7">
              <w:t>be replaced by a Livestock Sector Counci</w:t>
            </w:r>
            <w:r>
              <w:t>l (LSC)</w:t>
            </w:r>
            <w:r w:rsidR="00B35BF7">
              <w:t>.</w:t>
            </w:r>
            <w:r>
              <w:t xml:space="preserve"> </w:t>
            </w:r>
            <w:r w:rsidR="005A4986">
              <w:t xml:space="preserve">The </w:t>
            </w:r>
            <w:r w:rsidR="005A4986" w:rsidRPr="00FC2DC1">
              <w:t>role and function</w:t>
            </w:r>
            <w:r w:rsidR="005A4986">
              <w:t xml:space="preserve"> of the </w:t>
            </w:r>
            <w:r>
              <w:t xml:space="preserve">LSC </w:t>
            </w:r>
            <w:r w:rsidR="005A4986">
              <w:t xml:space="preserve">will </w:t>
            </w:r>
            <w:r w:rsidR="005A4986" w:rsidRPr="00FC2DC1">
              <w:t xml:space="preserve">be </w:t>
            </w:r>
            <w:r>
              <w:t>confirmed at this time.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155262D" w14:textId="719FD8F1" w:rsidR="005A4986" w:rsidRPr="006951E7" w:rsidRDefault="00386265" w:rsidP="00386265">
            <w:r>
              <w:t>Gavin Forrest (I</w:t>
            </w:r>
            <w:r w:rsidR="005A4986">
              <w:t>ndependent Chair)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AA658B2" w14:textId="60A7B9C0" w:rsidR="005A4986" w:rsidRPr="006951E7" w:rsidRDefault="005A4986" w:rsidP="00CC6FC0">
            <w:r>
              <w:t xml:space="preserve">MPI, GIA animal sector industry </w:t>
            </w:r>
            <w:r w:rsidR="00CC6FC0">
              <w:t xml:space="preserve">Partner </w:t>
            </w:r>
            <w:r>
              <w:t>and potential Signatory representatives that would be affected by FMD, and the GIA Secretariat.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A5A863" w14:textId="77777777" w:rsidR="005A4986" w:rsidRPr="006951E7" w:rsidRDefault="005A4986" w:rsidP="00947193">
            <w:r>
              <w:t>Monthly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039C465" w14:textId="77777777" w:rsidR="005A4986" w:rsidRDefault="005A4986" w:rsidP="00947193">
            <w:r>
              <w:t>Meeting notes (attendees only)</w:t>
            </w:r>
          </w:p>
          <w:p w14:paraId="58352CBD" w14:textId="77777777" w:rsidR="00BC6B9B" w:rsidRDefault="00BC6B9B" w:rsidP="00947193"/>
          <w:p w14:paraId="633015C7" w14:textId="77777777" w:rsidR="005A4986" w:rsidRPr="006951E7" w:rsidRDefault="005A4986" w:rsidP="00947193">
            <w:r w:rsidRPr="006951E7">
              <w:t xml:space="preserve">GIA newsletter (subscribe from </w:t>
            </w:r>
            <w:hyperlink r:id="rId19" w:history="1">
              <w:r w:rsidRPr="007164A9">
                <w:rPr>
                  <w:rStyle w:val="Hyperlink"/>
                </w:rPr>
                <w:t>www.gia.org.nz</w:t>
              </w:r>
            </w:hyperlink>
            <w:r w:rsidRPr="006951E7"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593F51B" w14:textId="242501C2" w:rsidR="00703785" w:rsidRDefault="00F63510" w:rsidP="00947193">
            <w:r>
              <w:t xml:space="preserve">GIA website </w:t>
            </w:r>
            <w:hyperlink r:id="rId20" w:history="1">
              <w:r w:rsidRPr="00F63510">
                <w:rPr>
                  <w:rStyle w:val="Hyperlink"/>
                </w:rPr>
                <w:t>here</w:t>
              </w:r>
            </w:hyperlink>
          </w:p>
          <w:p w14:paraId="5FC564B0" w14:textId="13D9C7C4" w:rsidR="005A4986" w:rsidRPr="006951E7" w:rsidRDefault="005A4986" w:rsidP="00947193"/>
        </w:tc>
      </w:tr>
    </w:tbl>
    <w:p w14:paraId="6B9B8EB1" w14:textId="5647609B" w:rsidR="00EE2097" w:rsidRDefault="00EE2097" w:rsidP="00B4055C">
      <w:pPr>
        <w:pStyle w:val="Default"/>
        <w:rPr>
          <w:rFonts w:cs="Times New Roman"/>
          <w:color w:val="1F497D"/>
        </w:rPr>
      </w:pPr>
    </w:p>
    <w:p w14:paraId="04840051" w14:textId="04592C4F" w:rsidR="0063376E" w:rsidRPr="00B82DA3" w:rsidRDefault="0063376E" w:rsidP="00B82DA3">
      <w:pPr>
        <w:ind w:left="-426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B82DA3">
        <w:rPr>
          <w:b/>
          <w:sz w:val="24"/>
          <w:szCs w:val="24"/>
        </w:rPr>
        <w:lastRenderedPageBreak/>
        <w:t>Table Two - B</w:t>
      </w:r>
      <w:r w:rsidR="001E1FEE" w:rsidRPr="00B82DA3">
        <w:rPr>
          <w:b/>
          <w:sz w:val="24"/>
          <w:szCs w:val="24"/>
        </w:rPr>
        <w:t xml:space="preserve">iosecurity fora </w:t>
      </w:r>
      <w:r w:rsidR="00B82DA3">
        <w:rPr>
          <w:b/>
          <w:sz w:val="24"/>
          <w:szCs w:val="24"/>
        </w:rPr>
        <w:t>of relevance for GIA Partners</w:t>
      </w:r>
      <w:r w:rsidR="00B2789E">
        <w:rPr>
          <w:b/>
          <w:sz w:val="24"/>
          <w:szCs w:val="24"/>
        </w:rPr>
        <w:t>, but</w:t>
      </w:r>
      <w:r w:rsidR="00B82DA3">
        <w:rPr>
          <w:b/>
          <w:sz w:val="24"/>
          <w:szCs w:val="24"/>
        </w:rPr>
        <w:t xml:space="preserve"> that have broader membership </w:t>
      </w:r>
    </w:p>
    <w:tbl>
      <w:tblPr>
        <w:tblStyle w:val="TableGrid"/>
        <w:tblW w:w="20130" w:type="dxa"/>
        <w:tblInd w:w="-431" w:type="dxa"/>
        <w:tblLook w:val="04A0" w:firstRow="1" w:lastRow="0" w:firstColumn="1" w:lastColumn="0" w:noHBand="0" w:noVBand="1"/>
      </w:tblPr>
      <w:tblGrid>
        <w:gridCol w:w="2439"/>
        <w:gridCol w:w="5358"/>
        <w:gridCol w:w="2410"/>
        <w:gridCol w:w="4253"/>
        <w:gridCol w:w="2835"/>
        <w:gridCol w:w="2835"/>
      </w:tblGrid>
      <w:tr w:rsidR="0019195E" w:rsidRPr="006951E7" w14:paraId="03A3A92A" w14:textId="77777777" w:rsidTr="00CE41CE">
        <w:tc>
          <w:tcPr>
            <w:tcW w:w="2439" w:type="dxa"/>
            <w:shd w:val="clear" w:color="auto" w:fill="F2F2F2" w:themeFill="background1" w:themeFillShade="F2"/>
          </w:tcPr>
          <w:p w14:paraId="3D1A52A4" w14:textId="77777777" w:rsidR="0072467A" w:rsidRPr="005C79E3" w:rsidRDefault="0072467A" w:rsidP="00E930E3">
            <w:pPr>
              <w:rPr>
                <w:b/>
              </w:rPr>
            </w:pPr>
            <w:r w:rsidRPr="005C79E3">
              <w:rPr>
                <w:b/>
              </w:rPr>
              <w:t>Forum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14:paraId="35E12B94" w14:textId="77777777" w:rsidR="0072467A" w:rsidRPr="005C79E3" w:rsidRDefault="0072467A" w:rsidP="00E930E3">
            <w:pPr>
              <w:rPr>
                <w:b/>
              </w:rPr>
            </w:pPr>
            <w:r w:rsidRPr="005C79E3">
              <w:rPr>
                <w:b/>
              </w:rPr>
              <w:t>Purpose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A51A9FB" w14:textId="77777777" w:rsidR="0072467A" w:rsidRPr="005C79E3" w:rsidRDefault="0072467A" w:rsidP="00E930E3">
            <w:pPr>
              <w:rPr>
                <w:b/>
              </w:rPr>
            </w:pPr>
            <w:r w:rsidRPr="005C79E3">
              <w:rPr>
                <w:b/>
              </w:rPr>
              <w:t>Lead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9F2B429" w14:textId="77777777" w:rsidR="0072467A" w:rsidRPr="005C79E3" w:rsidRDefault="0072467A" w:rsidP="00E930E3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EF668A6" w14:textId="77777777" w:rsidR="0072467A" w:rsidRPr="005C79E3" w:rsidRDefault="0072467A" w:rsidP="00E930E3">
            <w:pPr>
              <w:rPr>
                <w:b/>
              </w:rPr>
            </w:pPr>
            <w:r w:rsidRPr="005C79E3">
              <w:rPr>
                <w:b/>
              </w:rPr>
              <w:t xml:space="preserve">Frequency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A2B8BEC" w14:textId="77777777" w:rsidR="0072467A" w:rsidRDefault="0072467A" w:rsidP="00E930E3">
            <w:pPr>
              <w:rPr>
                <w:b/>
              </w:rPr>
            </w:pPr>
            <w:r>
              <w:rPr>
                <w:b/>
              </w:rPr>
              <w:t>More info</w:t>
            </w:r>
          </w:p>
        </w:tc>
      </w:tr>
      <w:tr w:rsidR="0019195E" w:rsidRPr="006951E7" w14:paraId="16E9C150" w14:textId="77777777" w:rsidTr="00CE41CE">
        <w:tc>
          <w:tcPr>
            <w:tcW w:w="2439" w:type="dxa"/>
          </w:tcPr>
          <w:p w14:paraId="389D6E39" w14:textId="223F46C8" w:rsidR="0072467A" w:rsidRPr="00065667" w:rsidRDefault="0072467A" w:rsidP="00E930E3">
            <w:pPr>
              <w:rPr>
                <w:b/>
              </w:rPr>
            </w:pPr>
            <w:r>
              <w:rPr>
                <w:b/>
              </w:rPr>
              <w:t>MPI Biosecurity Governance Board</w:t>
            </w:r>
          </w:p>
        </w:tc>
        <w:tc>
          <w:tcPr>
            <w:tcW w:w="5358" w:type="dxa"/>
          </w:tcPr>
          <w:p w14:paraId="71A138D3" w14:textId="45D52EFF" w:rsidR="0072467A" w:rsidRDefault="0072467A" w:rsidP="00E930E3">
            <w:r>
              <w:t xml:space="preserve">To govern on behalf of the Senior Leadership Team (SLT), MPI’s leadership role within the Biosecurity System </w:t>
            </w:r>
          </w:p>
          <w:p w14:paraId="1C9965C7" w14:textId="77777777" w:rsidR="0072467A" w:rsidRDefault="0072467A" w:rsidP="00E930E3"/>
          <w:p w14:paraId="0A9A62DE" w14:textId="52677581" w:rsidR="0072467A" w:rsidRPr="007755A0" w:rsidRDefault="0072467A" w:rsidP="00E930E3">
            <w:r>
              <w:t>To ensure the effective performance of the biosecurity system now and in the future</w:t>
            </w:r>
          </w:p>
        </w:tc>
        <w:tc>
          <w:tcPr>
            <w:tcW w:w="2410" w:type="dxa"/>
          </w:tcPr>
          <w:p w14:paraId="5FCF902D" w14:textId="4411FD98" w:rsidR="0072467A" w:rsidRPr="007755A0" w:rsidRDefault="0072467A" w:rsidP="005A7C2D">
            <w:r>
              <w:t>Chair – MPI Chief Operations Officer (</w:t>
            </w:r>
            <w:r w:rsidR="005A7C2D">
              <w:t>Roger Smith</w:t>
            </w:r>
            <w:r>
              <w:t>)</w:t>
            </w:r>
          </w:p>
        </w:tc>
        <w:tc>
          <w:tcPr>
            <w:tcW w:w="4253" w:type="dxa"/>
          </w:tcPr>
          <w:p w14:paraId="7A03F0F3" w14:textId="51CB367C" w:rsidR="0072467A" w:rsidRPr="007755A0" w:rsidRDefault="0072467A" w:rsidP="00E930E3">
            <w:r>
              <w:t>MPI Directors with key responsibilities for biosecurity</w:t>
            </w:r>
          </w:p>
        </w:tc>
        <w:tc>
          <w:tcPr>
            <w:tcW w:w="2835" w:type="dxa"/>
          </w:tcPr>
          <w:p w14:paraId="043F9B3C" w14:textId="6E7BD996" w:rsidR="0072467A" w:rsidRPr="007755A0" w:rsidRDefault="0072467A" w:rsidP="00E930E3">
            <w:r>
              <w:t>Bi-monthly</w:t>
            </w:r>
          </w:p>
        </w:tc>
        <w:tc>
          <w:tcPr>
            <w:tcW w:w="2835" w:type="dxa"/>
          </w:tcPr>
          <w:p w14:paraId="1ACD6336" w14:textId="5D0C59CE" w:rsidR="0072467A" w:rsidRPr="0020692D" w:rsidRDefault="0072467A" w:rsidP="0020692D">
            <w:r>
              <w:t xml:space="preserve">Charter available on </w:t>
            </w:r>
            <w:r w:rsidR="00BE2C96">
              <w:t xml:space="preserve">internal </w:t>
            </w:r>
            <w:r>
              <w:t xml:space="preserve">MPI system </w:t>
            </w:r>
            <w:hyperlink r:id="rId21" w:anchor="search=biosecurity%20charter" w:history="1">
              <w:r w:rsidRPr="00716DA2">
                <w:rPr>
                  <w:rStyle w:val="Hyperlink"/>
                </w:rPr>
                <w:t>here</w:t>
              </w:r>
            </w:hyperlink>
            <w:r w:rsidR="00BE2C96">
              <w:t xml:space="preserve"> and a</w:t>
            </w:r>
            <w:r>
              <w:t>vailable on request</w:t>
            </w:r>
          </w:p>
        </w:tc>
      </w:tr>
      <w:tr w:rsidR="0019195E" w:rsidRPr="006951E7" w14:paraId="50157FE9" w14:textId="77777777" w:rsidTr="00CE41CE">
        <w:tc>
          <w:tcPr>
            <w:tcW w:w="2439" w:type="dxa"/>
          </w:tcPr>
          <w:p w14:paraId="6397A67B" w14:textId="4AC8C161" w:rsidR="0072467A" w:rsidRDefault="0072467A" w:rsidP="00E930E3">
            <w:pPr>
              <w:rPr>
                <w:b/>
              </w:rPr>
            </w:pPr>
            <w:r>
              <w:rPr>
                <w:b/>
              </w:rPr>
              <w:t>Biosecurity Ministerial Advisory Committee (BMAC)</w:t>
            </w:r>
          </w:p>
        </w:tc>
        <w:tc>
          <w:tcPr>
            <w:tcW w:w="5358" w:type="dxa"/>
          </w:tcPr>
          <w:p w14:paraId="4BDAB2EC" w14:textId="46214A52" w:rsidR="0072467A" w:rsidRPr="007755A0" w:rsidRDefault="0072467A" w:rsidP="00E930E3">
            <w:r>
              <w:t xml:space="preserve">To provide high quality independent advice </w:t>
            </w:r>
            <w:r w:rsidR="00FF0AFA">
              <w:t xml:space="preserve">to the Minister for Primary Industries </w:t>
            </w:r>
            <w:r>
              <w:t>on the performance of New Zealand’s biosecurity system</w:t>
            </w:r>
          </w:p>
        </w:tc>
        <w:tc>
          <w:tcPr>
            <w:tcW w:w="2410" w:type="dxa"/>
          </w:tcPr>
          <w:p w14:paraId="200ED357" w14:textId="6C02C40C" w:rsidR="0072467A" w:rsidRPr="007755A0" w:rsidRDefault="00D22C05" w:rsidP="00E930E3">
            <w:r>
              <w:t>Chair – Graeme Marshall</w:t>
            </w:r>
          </w:p>
        </w:tc>
        <w:tc>
          <w:tcPr>
            <w:tcW w:w="4253" w:type="dxa"/>
          </w:tcPr>
          <w:p w14:paraId="6F3D04BA" w14:textId="77777777" w:rsidR="00C64C61" w:rsidRDefault="00D22C05" w:rsidP="00B353DD">
            <w:r>
              <w:t>Appointed by the Minister for Primary Industries to ensure a variety of perspectives, skills and interests</w:t>
            </w:r>
            <w:r w:rsidR="00B353DD">
              <w:t xml:space="preserve"> are represented. </w:t>
            </w:r>
          </w:p>
          <w:p w14:paraId="745C9D66" w14:textId="77777777" w:rsidR="00C64C61" w:rsidRDefault="00C64C61" w:rsidP="00B353DD"/>
          <w:p w14:paraId="73CE6EA5" w14:textId="12EB57E6" w:rsidR="0072467A" w:rsidRPr="007755A0" w:rsidRDefault="00B353DD" w:rsidP="00B353DD">
            <w:r>
              <w:t>Currently includes members with local government, CRI, industry, and university backgrounds</w:t>
            </w:r>
          </w:p>
        </w:tc>
        <w:tc>
          <w:tcPr>
            <w:tcW w:w="2835" w:type="dxa"/>
          </w:tcPr>
          <w:p w14:paraId="51779911" w14:textId="1E95D68C" w:rsidR="0072467A" w:rsidRPr="007755A0" w:rsidRDefault="00B372BD" w:rsidP="00E930E3">
            <w:r>
              <w:t>Quarterly</w:t>
            </w:r>
          </w:p>
        </w:tc>
        <w:tc>
          <w:tcPr>
            <w:tcW w:w="2835" w:type="dxa"/>
          </w:tcPr>
          <w:p w14:paraId="4127FACB" w14:textId="4DD14FAD" w:rsidR="00D22C05" w:rsidRDefault="00D22C05" w:rsidP="00E930E3">
            <w:r>
              <w:t xml:space="preserve">Visit MPI website </w:t>
            </w:r>
            <w:hyperlink r:id="rId22" w:history="1">
              <w:r w:rsidRPr="00D22C05">
                <w:rPr>
                  <w:rStyle w:val="Hyperlink"/>
                </w:rPr>
                <w:t>here</w:t>
              </w:r>
            </w:hyperlink>
          </w:p>
          <w:p w14:paraId="71AE7294" w14:textId="77777777" w:rsidR="00D22C05" w:rsidRDefault="00D22C05" w:rsidP="00E930E3"/>
          <w:p w14:paraId="21BFA479" w14:textId="4B2A8DF7" w:rsidR="0072467A" w:rsidRPr="007755A0" w:rsidRDefault="002A66FD" w:rsidP="00E930E3">
            <w:hyperlink r:id="rId23" w:history="1">
              <w:r w:rsidR="0072467A" w:rsidRPr="00A117A9">
                <w:rPr>
                  <w:rStyle w:val="Hyperlink"/>
                </w:rPr>
                <w:t>BMAC Terms of Reference</w:t>
              </w:r>
            </w:hyperlink>
          </w:p>
        </w:tc>
      </w:tr>
      <w:tr w:rsidR="0019195E" w:rsidRPr="00BA63D3" w14:paraId="31EFE23E" w14:textId="77777777" w:rsidTr="00CE41CE">
        <w:tc>
          <w:tcPr>
            <w:tcW w:w="2439" w:type="dxa"/>
          </w:tcPr>
          <w:p w14:paraId="20A9D2B6" w14:textId="7D5AE3E4" w:rsidR="0072467A" w:rsidRPr="003944D3" w:rsidRDefault="0072467A" w:rsidP="00E930E3">
            <w:pPr>
              <w:rPr>
                <w:b/>
              </w:rPr>
            </w:pPr>
            <w:r>
              <w:rPr>
                <w:b/>
              </w:rPr>
              <w:t>Animal Trade Advisory Council (ATAC)</w:t>
            </w:r>
          </w:p>
        </w:tc>
        <w:tc>
          <w:tcPr>
            <w:tcW w:w="5358" w:type="dxa"/>
          </w:tcPr>
          <w:p w14:paraId="611EEAC8" w14:textId="77777777" w:rsidR="0072467A" w:rsidRDefault="0072467A" w:rsidP="00FF26B7">
            <w:r>
              <w:t>A consultative committee designed to:</w:t>
            </w:r>
          </w:p>
          <w:p w14:paraId="4360EAE7" w14:textId="77777777" w:rsidR="003447B6" w:rsidRDefault="003447B6" w:rsidP="00450120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Represent participants in relation to implementation of relevant legislation</w:t>
            </w:r>
          </w:p>
          <w:p w14:paraId="75E1E240" w14:textId="58179A8A" w:rsidR="0072467A" w:rsidRDefault="0072467A" w:rsidP="00450120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Provide leadership, analysis and advice </w:t>
            </w:r>
            <w:r w:rsidR="00601214">
              <w:t>for</w:t>
            </w:r>
            <w:r>
              <w:t xml:space="preserve"> development of </w:t>
            </w:r>
            <w:r w:rsidR="00601214">
              <w:t>relevant</w:t>
            </w:r>
            <w:r>
              <w:t xml:space="preserve"> standards and strategies </w:t>
            </w:r>
          </w:p>
          <w:p w14:paraId="6661AD49" w14:textId="3BFA8109" w:rsidR="0072467A" w:rsidRPr="003944D3" w:rsidRDefault="0072467A" w:rsidP="00450120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Advise MPI </w:t>
            </w:r>
            <w:r w:rsidR="00601214">
              <w:t xml:space="preserve">on </w:t>
            </w:r>
            <w:r>
              <w:t xml:space="preserve">service delivery </w:t>
            </w:r>
            <w:r w:rsidR="00601214">
              <w:t xml:space="preserve">against </w:t>
            </w:r>
            <w:r>
              <w:t>standards</w:t>
            </w:r>
          </w:p>
        </w:tc>
        <w:tc>
          <w:tcPr>
            <w:tcW w:w="2410" w:type="dxa"/>
            <w:shd w:val="clear" w:color="auto" w:fill="auto"/>
          </w:tcPr>
          <w:p w14:paraId="0EDC9E4F" w14:textId="44F2CAD6" w:rsidR="0072467A" w:rsidRPr="003944D3" w:rsidRDefault="003F420D" w:rsidP="00E930E3">
            <w:r>
              <w:t xml:space="preserve">Independent </w:t>
            </w:r>
            <w:r w:rsidR="00EE0E29">
              <w:t>Chair – Jim Edwards</w:t>
            </w:r>
          </w:p>
        </w:tc>
        <w:tc>
          <w:tcPr>
            <w:tcW w:w="4253" w:type="dxa"/>
            <w:shd w:val="clear" w:color="auto" w:fill="auto"/>
          </w:tcPr>
          <w:p w14:paraId="40B20561" w14:textId="38E165C7" w:rsidR="0072467A" w:rsidRPr="003944D3" w:rsidRDefault="0072467A" w:rsidP="00E930E3">
            <w:r>
              <w:t>Representatives from animal germplasm import and export industry groups and MPI</w:t>
            </w:r>
          </w:p>
        </w:tc>
        <w:tc>
          <w:tcPr>
            <w:tcW w:w="2835" w:type="dxa"/>
          </w:tcPr>
          <w:p w14:paraId="08853B6D" w14:textId="1123866A" w:rsidR="0072467A" w:rsidRPr="003944D3" w:rsidRDefault="00EE0E29" w:rsidP="00E930E3">
            <w:r>
              <w:t>Quarterly</w:t>
            </w:r>
          </w:p>
        </w:tc>
        <w:tc>
          <w:tcPr>
            <w:tcW w:w="2835" w:type="dxa"/>
          </w:tcPr>
          <w:p w14:paraId="7A1D37B0" w14:textId="6B4ED8D0" w:rsidR="0019195E" w:rsidRPr="00D22AA1" w:rsidRDefault="0019195E" w:rsidP="00E930E3">
            <w:pPr>
              <w:rPr>
                <w:rStyle w:val="Hyperlink"/>
                <w:color w:val="auto"/>
                <w:u w:val="none"/>
                <w:lang w:val="fr-FR"/>
              </w:rPr>
            </w:pPr>
            <w:r w:rsidRPr="00807062">
              <w:rPr>
                <w:lang w:val="fr-FR"/>
              </w:rPr>
              <w:t xml:space="preserve">Email: </w:t>
            </w:r>
            <w:hyperlink r:id="rId24" w:history="1">
              <w:r w:rsidRPr="00807062">
                <w:rPr>
                  <w:rStyle w:val="Hyperlink"/>
                  <w:lang w:val="fr-FR"/>
                </w:rPr>
                <w:t>animalexports@mpi.govt.nz</w:t>
              </w:r>
            </w:hyperlink>
          </w:p>
          <w:p w14:paraId="68125C26" w14:textId="77777777" w:rsidR="0019195E" w:rsidRPr="00D22AA1" w:rsidRDefault="0019195E" w:rsidP="00E930E3">
            <w:pPr>
              <w:rPr>
                <w:lang w:val="fr-FR"/>
              </w:rPr>
            </w:pPr>
          </w:p>
          <w:p w14:paraId="231D310F" w14:textId="6F42511C" w:rsidR="0072467A" w:rsidRPr="00D22AA1" w:rsidRDefault="0072467A" w:rsidP="00E930E3">
            <w:r w:rsidRPr="00D22AA1">
              <w:t>TOR available on request</w:t>
            </w:r>
          </w:p>
        </w:tc>
      </w:tr>
      <w:tr w:rsidR="0019195E" w:rsidRPr="006951E7" w14:paraId="2425C3D1" w14:textId="77777777" w:rsidTr="00CE41CE"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5AC73D89" w14:textId="26390638" w:rsidR="0072467A" w:rsidRPr="00065667" w:rsidRDefault="00F51371" w:rsidP="00E930E3">
            <w:pPr>
              <w:rPr>
                <w:b/>
              </w:rPr>
            </w:pPr>
            <w:r>
              <w:rPr>
                <w:b/>
              </w:rPr>
              <w:t>Fresh Produce Advisory Committee (</w:t>
            </w:r>
            <w:r w:rsidR="0072467A">
              <w:rPr>
                <w:b/>
              </w:rPr>
              <w:t>FreshPAC</w:t>
            </w:r>
            <w:r>
              <w:rPr>
                <w:b/>
              </w:rPr>
              <w:t>)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14:paraId="277D5702" w14:textId="77777777" w:rsidR="00777F70" w:rsidRDefault="00777F70" w:rsidP="00777F70">
            <w:pPr>
              <w:tabs>
                <w:tab w:val="center" w:pos="2571"/>
              </w:tabs>
            </w:pPr>
            <w:r>
              <w:t>A consultative forum that:</w:t>
            </w:r>
          </w:p>
          <w:p w14:paraId="7D9BE5E7" w14:textId="0D72A04C" w:rsidR="00777F70" w:rsidRDefault="00777F70" w:rsidP="00450120">
            <w:pPr>
              <w:pStyle w:val="ListParagraph"/>
              <w:numPr>
                <w:ilvl w:val="0"/>
                <w:numId w:val="18"/>
              </w:numPr>
              <w:tabs>
                <w:tab w:val="center" w:pos="2571"/>
              </w:tabs>
            </w:pPr>
            <w:r>
              <w:t xml:space="preserve">Provides leadership, analysis and advice for development of </w:t>
            </w:r>
            <w:r w:rsidR="00831C8B">
              <w:t xml:space="preserve">relevant </w:t>
            </w:r>
            <w:r>
              <w:t>standards and strategies</w:t>
            </w:r>
          </w:p>
          <w:p w14:paraId="0A0B6E1E" w14:textId="77777777" w:rsidR="00777F70" w:rsidRDefault="00777F70" w:rsidP="00450120">
            <w:pPr>
              <w:pStyle w:val="ListParagraph"/>
              <w:numPr>
                <w:ilvl w:val="0"/>
                <w:numId w:val="18"/>
              </w:numPr>
              <w:tabs>
                <w:tab w:val="center" w:pos="2571"/>
              </w:tabs>
            </w:pPr>
            <w:r>
              <w:t>Provides input and advice to priority setting in the fresh produce work programme</w:t>
            </w:r>
          </w:p>
          <w:p w14:paraId="2A52E26B" w14:textId="1C6DC458" w:rsidR="00F53C1D" w:rsidRDefault="00F53C1D" w:rsidP="00450120">
            <w:pPr>
              <w:pStyle w:val="ListParagraph"/>
              <w:numPr>
                <w:ilvl w:val="0"/>
                <w:numId w:val="18"/>
              </w:numPr>
              <w:tabs>
                <w:tab w:val="center" w:pos="2571"/>
              </w:tabs>
            </w:pPr>
            <w:r>
              <w:t>Provides advice on the practical uptake of major new initiatives affecting fresh produce imports</w:t>
            </w:r>
            <w:r w:rsidR="00777F70">
              <w:t xml:space="preserve"> </w:t>
            </w:r>
          </w:p>
          <w:p w14:paraId="3A121379" w14:textId="23697AD6" w:rsidR="00F53C1D" w:rsidRDefault="00F53C1D" w:rsidP="00450120">
            <w:pPr>
              <w:pStyle w:val="ListParagraph"/>
              <w:numPr>
                <w:ilvl w:val="0"/>
                <w:numId w:val="18"/>
              </w:numPr>
              <w:tabs>
                <w:tab w:val="center" w:pos="2571"/>
              </w:tabs>
            </w:pPr>
            <w:r>
              <w:t>Identifies whether communication processes around critical decisions are in line with agreed policies</w:t>
            </w:r>
          </w:p>
          <w:p w14:paraId="50ABA018" w14:textId="017C39C9" w:rsidR="0072467A" w:rsidRPr="006951E7" w:rsidRDefault="00F53C1D" w:rsidP="00450120">
            <w:pPr>
              <w:pStyle w:val="ListParagraph"/>
              <w:numPr>
                <w:ilvl w:val="0"/>
                <w:numId w:val="18"/>
              </w:numPr>
              <w:tabs>
                <w:tab w:val="center" w:pos="2571"/>
              </w:tabs>
            </w:pPr>
            <w:r>
              <w:t>Advises MPI on service delivery against standards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4C6290" w14:textId="08670D17" w:rsidR="0072467A" w:rsidRPr="006951E7" w:rsidRDefault="00BA39BC" w:rsidP="00E930E3">
            <w:r>
              <w:t>Chair – Stephen Butcher (MPI)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D6E1D22" w14:textId="5E8FF41E" w:rsidR="0072467A" w:rsidRPr="006951E7" w:rsidRDefault="00777F70" w:rsidP="00E930E3">
            <w:r>
              <w:t>Representatives from the fresh produce import industry, major stakeholders and MPI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606DA1" w14:textId="3117A845" w:rsidR="0072467A" w:rsidRPr="006951E7" w:rsidRDefault="00F53C1D" w:rsidP="00E930E3">
            <w:r>
              <w:t>As required (meeting dates set one year in advance)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3C9648" w14:textId="003BAD87" w:rsidR="00A12FE7" w:rsidRDefault="002A66FD" w:rsidP="00E930E3">
            <w:hyperlink r:id="rId25" w:history="1">
              <w:r w:rsidR="00A12FE7" w:rsidRPr="00AB10A9">
                <w:rPr>
                  <w:rStyle w:val="Hyperlink"/>
                </w:rPr>
                <w:t>PlantImports@mpi.govt.nz</w:t>
              </w:r>
            </w:hyperlink>
          </w:p>
          <w:p w14:paraId="356389E0" w14:textId="77777777" w:rsidR="00A12FE7" w:rsidRDefault="00A12FE7" w:rsidP="00E930E3"/>
          <w:p w14:paraId="6126AF73" w14:textId="30CCFB0F" w:rsidR="0072467A" w:rsidRPr="006951E7" w:rsidRDefault="0072467A" w:rsidP="00E930E3">
            <w:r>
              <w:t>TOR available on request</w:t>
            </w:r>
          </w:p>
        </w:tc>
      </w:tr>
      <w:tr w:rsidR="0019195E" w:rsidRPr="006951E7" w14:paraId="667BEE49" w14:textId="77777777" w:rsidTr="00CE41CE"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57D5F820" w14:textId="46AD147E" w:rsidR="0072467A" w:rsidRPr="00065667" w:rsidRDefault="0072467A" w:rsidP="00E930E3">
            <w:pPr>
              <w:rPr>
                <w:b/>
              </w:rPr>
            </w:pPr>
            <w:r>
              <w:rPr>
                <w:b/>
              </w:rPr>
              <w:t>Plants Market Access Council (PMAC)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4B04B" w14:textId="2D7F318D" w:rsidR="0072467A" w:rsidRPr="006951E7" w:rsidRDefault="00CE41CE" w:rsidP="00831C8B">
            <w:r>
              <w:t xml:space="preserve">A </w:t>
            </w:r>
            <w:r w:rsidR="00115A13">
              <w:t>Partners</w:t>
            </w:r>
            <w:r>
              <w:t>hip between the NZ plants Industry and Gove</w:t>
            </w:r>
            <w:r w:rsidR="00831C8B">
              <w:t>rnment to promote market access.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E8343" w14:textId="77777777" w:rsidR="0072467A" w:rsidRDefault="0072467A" w:rsidP="00E930E3">
            <w:r>
              <w:t>Chair – Dr Russ Ballard</w:t>
            </w:r>
          </w:p>
          <w:p w14:paraId="0BF95CD9" w14:textId="77777777" w:rsidR="00CE41CE" w:rsidRDefault="00CE41CE" w:rsidP="00E930E3"/>
          <w:p w14:paraId="62BBECA2" w14:textId="0898B51A" w:rsidR="00CE41CE" w:rsidRPr="006951E7" w:rsidRDefault="00CE41CE" w:rsidP="00E930E3">
            <w:r>
              <w:t>Secretariat – Helen Gear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5BC5" w14:textId="5AC803FC" w:rsidR="0072467A" w:rsidRDefault="001F29B3" w:rsidP="00E930E3">
            <w:r>
              <w:t>R</w:t>
            </w:r>
            <w:r w:rsidR="00952F6A">
              <w:t>epresentatives from:</w:t>
            </w:r>
          </w:p>
          <w:p w14:paraId="5A90211B" w14:textId="2B3EEA31" w:rsidR="0072467A" w:rsidRDefault="00952F6A" w:rsidP="00450120">
            <w:pPr>
              <w:pStyle w:val="ListParagraph"/>
              <w:numPr>
                <w:ilvl w:val="0"/>
                <w:numId w:val="17"/>
              </w:numPr>
            </w:pPr>
            <w:r>
              <w:t>Industry body and sectors</w:t>
            </w:r>
          </w:p>
          <w:p w14:paraId="12BEBF58" w14:textId="31D292B3" w:rsidR="00952F6A" w:rsidRDefault="00952F6A" w:rsidP="00450120">
            <w:pPr>
              <w:pStyle w:val="ListParagraph"/>
              <w:numPr>
                <w:ilvl w:val="0"/>
                <w:numId w:val="17"/>
              </w:numPr>
            </w:pPr>
            <w:r>
              <w:t>MPI and MFAT</w:t>
            </w:r>
          </w:p>
          <w:p w14:paraId="5E71F651" w14:textId="2F2E03F6" w:rsidR="0072467A" w:rsidRPr="006951E7" w:rsidRDefault="00952F6A" w:rsidP="00450120">
            <w:pPr>
              <w:pStyle w:val="ListParagraph"/>
              <w:numPr>
                <w:ilvl w:val="0"/>
                <w:numId w:val="17"/>
              </w:numPr>
            </w:pPr>
            <w:r>
              <w:t>Plant export service providers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357BE" w14:textId="08E1EF90" w:rsidR="0072467A" w:rsidRPr="006951E7" w:rsidRDefault="009D4DB0" w:rsidP="00E930E3">
            <w:r>
              <w:t>Quarterly (+ AGM)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8629D" w14:textId="73439C25" w:rsidR="0072467A" w:rsidRPr="005223B8" w:rsidRDefault="002A66FD" w:rsidP="00E930E3">
            <w:hyperlink r:id="rId26" w:history="1">
              <w:r w:rsidR="0072467A" w:rsidRPr="001C510B">
                <w:rPr>
                  <w:rStyle w:val="Hyperlink"/>
                </w:rPr>
                <w:t>www.pmac.co.nz</w:t>
              </w:r>
            </w:hyperlink>
            <w:r w:rsidR="0072467A">
              <w:t xml:space="preserve"> </w:t>
            </w:r>
          </w:p>
        </w:tc>
      </w:tr>
      <w:tr w:rsidR="0019195E" w:rsidRPr="006951E7" w14:paraId="01AF586E" w14:textId="77777777" w:rsidTr="00CE41CE"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3B714AC6" w14:textId="40DA437B" w:rsidR="0072467A" w:rsidRDefault="0072467A" w:rsidP="00E930E3">
            <w:pPr>
              <w:rPr>
                <w:b/>
              </w:rPr>
            </w:pPr>
            <w:r>
              <w:rPr>
                <w:b/>
              </w:rPr>
              <w:t>Germplasm Advisory Council (Germac)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14:paraId="49431645" w14:textId="00A7B208" w:rsidR="0072467A" w:rsidRDefault="0072467A" w:rsidP="00E930E3">
            <w:r>
              <w:t>A consultative forum that works collaboratively to:</w:t>
            </w:r>
          </w:p>
          <w:p w14:paraId="6BBB5B85" w14:textId="77777777" w:rsidR="0072467A" w:rsidRDefault="0072467A" w:rsidP="00450120">
            <w:pPr>
              <w:pStyle w:val="ListParagraph"/>
              <w:numPr>
                <w:ilvl w:val="0"/>
                <w:numId w:val="15"/>
              </w:numPr>
            </w:pPr>
            <w:r>
              <w:t>Encourage open communication about import regulations</w:t>
            </w:r>
          </w:p>
          <w:p w14:paraId="4F237FE9" w14:textId="692D0153" w:rsidR="0072467A" w:rsidRPr="006951E7" w:rsidRDefault="0072467A" w:rsidP="00450120">
            <w:pPr>
              <w:pStyle w:val="ListParagraph"/>
              <w:numPr>
                <w:ilvl w:val="0"/>
                <w:numId w:val="15"/>
              </w:numPr>
            </w:pPr>
            <w:r>
              <w:t>Provide input into strategic  direction, policy development, priority setting, and cost-effective delivery of the germplasm import programme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EEE995" w14:textId="2CF8A6A1" w:rsidR="0072467A" w:rsidRPr="006951E7" w:rsidRDefault="0072467A" w:rsidP="005A7C2D">
            <w:r>
              <w:t>Chair – John Liddle (</w:t>
            </w:r>
            <w:r w:rsidR="005A7C2D">
              <w:t>New Zealand Plant Producers Incorporated - NZPPI</w:t>
            </w:r>
            <w:r>
              <w:t>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25E78A6" w14:textId="77777777" w:rsidR="0072467A" w:rsidRDefault="0072467A" w:rsidP="00E930E3">
            <w:r>
              <w:t>Representatives from plant germplasm import industry groups and MPI</w:t>
            </w:r>
          </w:p>
          <w:p w14:paraId="37312FCB" w14:textId="50546DF1" w:rsidR="009D4DB0" w:rsidRDefault="009D4DB0" w:rsidP="00E930E3"/>
          <w:p w14:paraId="2B83CE19" w14:textId="05CF1400" w:rsidR="0072467A" w:rsidRPr="006951E7" w:rsidRDefault="0072467A" w:rsidP="009D4DB0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866E2B" w14:textId="22F65774" w:rsidR="0072467A" w:rsidRPr="006951E7" w:rsidRDefault="0072467A" w:rsidP="00E930E3">
            <w:r>
              <w:t>Quarterly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FD2E37" w14:textId="77777777" w:rsidR="0072467A" w:rsidRDefault="0072467A" w:rsidP="00E930E3">
            <w:r>
              <w:t xml:space="preserve">Visit MPI website </w:t>
            </w:r>
            <w:hyperlink r:id="rId27" w:history="1">
              <w:r w:rsidRPr="00EB067E">
                <w:rPr>
                  <w:rStyle w:val="Hyperlink"/>
                </w:rPr>
                <w:t>here</w:t>
              </w:r>
            </w:hyperlink>
          </w:p>
          <w:p w14:paraId="3ECAAE58" w14:textId="77777777" w:rsidR="0072467A" w:rsidRDefault="0072467A" w:rsidP="00E930E3"/>
          <w:p w14:paraId="08C4383E" w14:textId="2F8990CC" w:rsidR="0072467A" w:rsidRDefault="0072467A" w:rsidP="00E930E3">
            <w:r>
              <w:t>Visit N</w:t>
            </w:r>
            <w:r w:rsidR="005A7C2D">
              <w:t>ZPPI</w:t>
            </w:r>
            <w:r>
              <w:t xml:space="preserve"> website </w:t>
            </w:r>
            <w:hyperlink r:id="rId28" w:history="1">
              <w:r w:rsidRPr="00EB067E">
                <w:rPr>
                  <w:rStyle w:val="Hyperlink"/>
                </w:rPr>
                <w:t>here</w:t>
              </w:r>
            </w:hyperlink>
          </w:p>
          <w:p w14:paraId="3BF55D62" w14:textId="77777777" w:rsidR="0072467A" w:rsidRDefault="0072467A" w:rsidP="00E930E3"/>
          <w:p w14:paraId="6FED67AD" w14:textId="4F0C3A77" w:rsidR="0072467A" w:rsidRPr="006951E7" w:rsidRDefault="0072467A" w:rsidP="00E930E3">
            <w:r>
              <w:t>TOR available on request</w:t>
            </w:r>
          </w:p>
        </w:tc>
      </w:tr>
    </w:tbl>
    <w:p w14:paraId="7F747E27" w14:textId="623E226D" w:rsidR="0063376E" w:rsidRPr="0063376E" w:rsidRDefault="0063376E" w:rsidP="0063376E">
      <w:pPr>
        <w:rPr>
          <w:b/>
          <w:sz w:val="28"/>
          <w:szCs w:val="28"/>
        </w:rPr>
      </w:pPr>
    </w:p>
    <w:sectPr w:rsidR="0063376E" w:rsidRPr="0063376E" w:rsidSect="00522A59">
      <w:headerReference w:type="default" r:id="rId29"/>
      <w:footerReference w:type="default" r:id="rId30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15DCF" w14:textId="77777777" w:rsidR="002A66FD" w:rsidRDefault="002A66FD" w:rsidP="00EE2097">
      <w:pPr>
        <w:spacing w:after="0" w:line="240" w:lineRule="auto"/>
      </w:pPr>
      <w:r>
        <w:separator/>
      </w:r>
    </w:p>
  </w:endnote>
  <w:endnote w:type="continuationSeparator" w:id="0">
    <w:p w14:paraId="6DD1065D" w14:textId="77777777" w:rsidR="002A66FD" w:rsidRDefault="002A66FD" w:rsidP="00EE2097">
      <w:pPr>
        <w:spacing w:after="0" w:line="240" w:lineRule="auto"/>
      </w:pPr>
      <w:r>
        <w:continuationSeparator/>
      </w:r>
    </w:p>
  </w:endnote>
  <w:endnote w:type="continuationNotice" w:id="1">
    <w:p w14:paraId="7712AF50" w14:textId="77777777" w:rsidR="002A66FD" w:rsidRDefault="002A66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-4552970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-839771537"/>
          <w:docPartObj>
            <w:docPartGallery w:val="Page Numbers (Top of Page)"/>
            <w:docPartUnique/>
          </w:docPartObj>
        </w:sdtPr>
        <w:sdtEndPr/>
        <w:sdtContent>
          <w:p w14:paraId="4782146B" w14:textId="0DFCB370" w:rsidR="00103CF4" w:rsidRPr="00254E71" w:rsidRDefault="00103CF4" w:rsidP="00424170">
            <w:pPr>
              <w:pStyle w:val="Footer"/>
              <w:tabs>
                <w:tab w:val="clear" w:pos="4513"/>
                <w:tab w:val="clear" w:pos="9026"/>
              </w:tabs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Engagement Across the Biosecurity System under GIA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tab/>
            </w:r>
            <w:r>
              <w:rPr>
                <w:sz w:val="20"/>
                <w:szCs w:val="20"/>
              </w:rPr>
              <w:t>p</w:t>
            </w:r>
            <w:r w:rsidRPr="00254E71">
              <w:rPr>
                <w:b/>
                <w:bCs/>
                <w:sz w:val="20"/>
                <w:szCs w:val="20"/>
              </w:rPr>
              <w:fldChar w:fldCharType="begin"/>
            </w:r>
            <w:r w:rsidRPr="00254E71">
              <w:rPr>
                <w:bCs/>
                <w:sz w:val="20"/>
                <w:szCs w:val="20"/>
              </w:rPr>
              <w:instrText xml:space="preserve"> PAGE </w:instrText>
            </w:r>
            <w:r w:rsidRPr="00254E71">
              <w:rPr>
                <w:b/>
                <w:bCs/>
                <w:sz w:val="20"/>
                <w:szCs w:val="20"/>
              </w:rPr>
              <w:fldChar w:fldCharType="separate"/>
            </w:r>
            <w:r w:rsidR="00F63510">
              <w:rPr>
                <w:bCs/>
                <w:noProof/>
                <w:sz w:val="20"/>
                <w:szCs w:val="20"/>
              </w:rPr>
              <w:t>2</w:t>
            </w:r>
            <w:r w:rsidRPr="00254E71">
              <w:rPr>
                <w:b/>
                <w:bCs/>
                <w:sz w:val="20"/>
                <w:szCs w:val="20"/>
              </w:rPr>
              <w:fldChar w:fldCharType="end"/>
            </w:r>
            <w:r w:rsidRPr="00254E71">
              <w:rPr>
                <w:sz w:val="20"/>
                <w:szCs w:val="20"/>
              </w:rPr>
              <w:t xml:space="preserve"> of </w:t>
            </w:r>
            <w:r w:rsidRPr="00254E71">
              <w:rPr>
                <w:b/>
                <w:bCs/>
                <w:sz w:val="20"/>
                <w:szCs w:val="20"/>
              </w:rPr>
              <w:fldChar w:fldCharType="begin"/>
            </w:r>
            <w:r w:rsidRPr="00254E71">
              <w:rPr>
                <w:bCs/>
                <w:sz w:val="20"/>
                <w:szCs w:val="20"/>
              </w:rPr>
              <w:instrText xml:space="preserve"> NUMPAGES  </w:instrText>
            </w:r>
            <w:r w:rsidRPr="00254E71">
              <w:rPr>
                <w:b/>
                <w:bCs/>
                <w:sz w:val="20"/>
                <w:szCs w:val="20"/>
              </w:rPr>
              <w:fldChar w:fldCharType="separate"/>
            </w:r>
            <w:r w:rsidR="00F63510">
              <w:rPr>
                <w:bCs/>
                <w:noProof/>
                <w:sz w:val="20"/>
                <w:szCs w:val="20"/>
              </w:rPr>
              <w:t>2</w:t>
            </w:r>
            <w:r w:rsidRPr="00254E7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DE88A" w14:textId="77777777" w:rsidR="002A66FD" w:rsidRDefault="002A66FD" w:rsidP="00EE2097">
      <w:pPr>
        <w:spacing w:after="0" w:line="240" w:lineRule="auto"/>
      </w:pPr>
      <w:r>
        <w:separator/>
      </w:r>
    </w:p>
  </w:footnote>
  <w:footnote w:type="continuationSeparator" w:id="0">
    <w:p w14:paraId="62754CDA" w14:textId="77777777" w:rsidR="002A66FD" w:rsidRDefault="002A66FD" w:rsidP="00EE2097">
      <w:pPr>
        <w:spacing w:after="0" w:line="240" w:lineRule="auto"/>
      </w:pPr>
      <w:r>
        <w:continuationSeparator/>
      </w:r>
    </w:p>
  </w:footnote>
  <w:footnote w:type="continuationNotice" w:id="1">
    <w:p w14:paraId="5830EBE7" w14:textId="77777777" w:rsidR="002A66FD" w:rsidRDefault="002A66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9E0C8" w14:textId="4CE674F4" w:rsidR="00103CF4" w:rsidRPr="00BD7340" w:rsidRDefault="00674180" w:rsidP="00BD7340">
    <w:pPr>
      <w:pStyle w:val="Header"/>
      <w:ind w:left="1440"/>
      <w:jc w:val="right"/>
      <w:rPr>
        <w:b/>
        <w:i/>
        <w:sz w:val="22"/>
      </w:rPr>
    </w:pPr>
    <w:r>
      <w:rPr>
        <w:b/>
        <w:sz w:val="22"/>
      </w:rPr>
      <w:t xml:space="preserve">GIA Engagement Policy - </w:t>
    </w:r>
    <w:r w:rsidR="00103CF4">
      <w:rPr>
        <w:b/>
        <w:sz w:val="22"/>
      </w:rPr>
      <w:t>Appendix Seven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861"/>
    <w:multiLevelType w:val="hybridMultilevel"/>
    <w:tmpl w:val="35D808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2F7E"/>
    <w:multiLevelType w:val="hybridMultilevel"/>
    <w:tmpl w:val="636226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5DF2"/>
    <w:multiLevelType w:val="hybridMultilevel"/>
    <w:tmpl w:val="9AE4A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3D19"/>
    <w:multiLevelType w:val="hybridMultilevel"/>
    <w:tmpl w:val="667C4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3F85"/>
    <w:multiLevelType w:val="hybridMultilevel"/>
    <w:tmpl w:val="443ADB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654E"/>
    <w:multiLevelType w:val="hybridMultilevel"/>
    <w:tmpl w:val="33EEB1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906"/>
    <w:multiLevelType w:val="hybridMultilevel"/>
    <w:tmpl w:val="9EC46A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A023B"/>
    <w:multiLevelType w:val="hybridMultilevel"/>
    <w:tmpl w:val="A5589E7E"/>
    <w:lvl w:ilvl="0" w:tplc="1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3CA270D"/>
    <w:multiLevelType w:val="hybridMultilevel"/>
    <w:tmpl w:val="A05A0E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56B0F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44B"/>
    <w:multiLevelType w:val="hybridMultilevel"/>
    <w:tmpl w:val="71B6C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6B53"/>
    <w:multiLevelType w:val="hybridMultilevel"/>
    <w:tmpl w:val="54C43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C2BFA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3F34"/>
    <w:multiLevelType w:val="hybridMultilevel"/>
    <w:tmpl w:val="BB9251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7BAD"/>
    <w:multiLevelType w:val="hybridMultilevel"/>
    <w:tmpl w:val="A2C6144A"/>
    <w:lvl w:ilvl="0" w:tplc="51D82F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62CC5"/>
    <w:multiLevelType w:val="hybridMultilevel"/>
    <w:tmpl w:val="02E0A8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611A"/>
    <w:multiLevelType w:val="hybridMultilevel"/>
    <w:tmpl w:val="91B0A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B7DEB"/>
    <w:multiLevelType w:val="hybridMultilevel"/>
    <w:tmpl w:val="E83619A2"/>
    <w:lvl w:ilvl="0" w:tplc="D7D20E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F201A6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64F57"/>
    <w:multiLevelType w:val="hybridMultilevel"/>
    <w:tmpl w:val="099CE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C4FE2"/>
    <w:multiLevelType w:val="hybridMultilevel"/>
    <w:tmpl w:val="FF32D8BA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4205F5"/>
    <w:multiLevelType w:val="hybridMultilevel"/>
    <w:tmpl w:val="8424C0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D174FC"/>
    <w:multiLevelType w:val="hybridMultilevel"/>
    <w:tmpl w:val="6F326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05BD1"/>
    <w:multiLevelType w:val="hybridMultilevel"/>
    <w:tmpl w:val="6A6ADC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16DE3"/>
    <w:multiLevelType w:val="hybridMultilevel"/>
    <w:tmpl w:val="FEE2E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0D6C"/>
    <w:multiLevelType w:val="hybridMultilevel"/>
    <w:tmpl w:val="04EE84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A1D8B"/>
    <w:multiLevelType w:val="hybridMultilevel"/>
    <w:tmpl w:val="6A107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970"/>
    <w:multiLevelType w:val="singleLevel"/>
    <w:tmpl w:val="F5C2C23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</w:abstractNum>
  <w:abstractNum w:abstractNumId="27" w15:restartNumberingAfterBreak="0">
    <w:nsid w:val="64487717"/>
    <w:multiLevelType w:val="hybridMultilevel"/>
    <w:tmpl w:val="FB963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B13FA"/>
    <w:multiLevelType w:val="hybridMultilevel"/>
    <w:tmpl w:val="101A2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04216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037D5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A72ED"/>
    <w:multiLevelType w:val="hybridMultilevel"/>
    <w:tmpl w:val="89341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B76C3"/>
    <w:multiLevelType w:val="hybridMultilevel"/>
    <w:tmpl w:val="D1E0FB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7"/>
  </w:num>
  <w:num w:numId="5">
    <w:abstractNumId w:val="24"/>
  </w:num>
  <w:num w:numId="6">
    <w:abstractNumId w:val="1"/>
  </w:num>
  <w:num w:numId="7">
    <w:abstractNumId w:val="18"/>
  </w:num>
  <w:num w:numId="8">
    <w:abstractNumId w:val="23"/>
  </w:num>
  <w:num w:numId="9">
    <w:abstractNumId w:val="29"/>
  </w:num>
  <w:num w:numId="10">
    <w:abstractNumId w:val="9"/>
  </w:num>
  <w:num w:numId="11">
    <w:abstractNumId w:val="14"/>
  </w:num>
  <w:num w:numId="12">
    <w:abstractNumId w:val="17"/>
  </w:num>
  <w:num w:numId="13">
    <w:abstractNumId w:val="31"/>
  </w:num>
  <w:num w:numId="14">
    <w:abstractNumId w:val="30"/>
  </w:num>
  <w:num w:numId="15">
    <w:abstractNumId w:val="22"/>
  </w:num>
  <w:num w:numId="16">
    <w:abstractNumId w:val="3"/>
  </w:num>
  <w:num w:numId="17">
    <w:abstractNumId w:val="8"/>
  </w:num>
  <w:num w:numId="18">
    <w:abstractNumId w:val="20"/>
  </w:num>
  <w:num w:numId="19">
    <w:abstractNumId w:val="16"/>
  </w:num>
  <w:num w:numId="20">
    <w:abstractNumId w:val="28"/>
  </w:num>
  <w:num w:numId="21">
    <w:abstractNumId w:val="15"/>
  </w:num>
  <w:num w:numId="22">
    <w:abstractNumId w:val="25"/>
  </w:num>
  <w:num w:numId="23">
    <w:abstractNumId w:val="4"/>
  </w:num>
  <w:num w:numId="24">
    <w:abstractNumId w:val="5"/>
  </w:num>
  <w:num w:numId="25">
    <w:abstractNumId w:val="6"/>
  </w:num>
  <w:num w:numId="26">
    <w:abstractNumId w:val="0"/>
  </w:num>
  <w:num w:numId="27">
    <w:abstractNumId w:val="11"/>
  </w:num>
  <w:num w:numId="28">
    <w:abstractNumId w:val="13"/>
  </w:num>
  <w:num w:numId="29">
    <w:abstractNumId w:val="32"/>
  </w:num>
  <w:num w:numId="30">
    <w:abstractNumId w:val="21"/>
  </w:num>
  <w:num w:numId="31">
    <w:abstractNumId w:val="12"/>
  </w:num>
  <w:num w:numId="32">
    <w:abstractNumId w:val="7"/>
  </w:num>
  <w:num w:numId="33">
    <w:abstractNumId w:val="26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7"/>
    <w:rsid w:val="000013F0"/>
    <w:rsid w:val="00001618"/>
    <w:rsid w:val="00001B2C"/>
    <w:rsid w:val="00001BB3"/>
    <w:rsid w:val="000055D8"/>
    <w:rsid w:val="0001254E"/>
    <w:rsid w:val="000203BA"/>
    <w:rsid w:val="00021B5A"/>
    <w:rsid w:val="000250C0"/>
    <w:rsid w:val="000266C5"/>
    <w:rsid w:val="00027549"/>
    <w:rsid w:val="00031230"/>
    <w:rsid w:val="00042155"/>
    <w:rsid w:val="00043D89"/>
    <w:rsid w:val="00045091"/>
    <w:rsid w:val="00045E93"/>
    <w:rsid w:val="0004720B"/>
    <w:rsid w:val="00052388"/>
    <w:rsid w:val="00056201"/>
    <w:rsid w:val="00064897"/>
    <w:rsid w:val="00065DD0"/>
    <w:rsid w:val="00070462"/>
    <w:rsid w:val="000741C6"/>
    <w:rsid w:val="000745D4"/>
    <w:rsid w:val="00080A7A"/>
    <w:rsid w:val="00087015"/>
    <w:rsid w:val="00095548"/>
    <w:rsid w:val="000974BC"/>
    <w:rsid w:val="000A6FFD"/>
    <w:rsid w:val="000B57C7"/>
    <w:rsid w:val="000C2D87"/>
    <w:rsid w:val="000C5329"/>
    <w:rsid w:val="000D12EA"/>
    <w:rsid w:val="000D1DCD"/>
    <w:rsid w:val="000D265D"/>
    <w:rsid w:val="000D355A"/>
    <w:rsid w:val="000D7562"/>
    <w:rsid w:val="000E3B67"/>
    <w:rsid w:val="000E43A6"/>
    <w:rsid w:val="000E5F7A"/>
    <w:rsid w:val="000E60C5"/>
    <w:rsid w:val="000F1F18"/>
    <w:rsid w:val="000F3FD0"/>
    <w:rsid w:val="000F4DC9"/>
    <w:rsid w:val="000F5205"/>
    <w:rsid w:val="00103CF4"/>
    <w:rsid w:val="00104418"/>
    <w:rsid w:val="00110F25"/>
    <w:rsid w:val="00113CE8"/>
    <w:rsid w:val="00115A13"/>
    <w:rsid w:val="00116CDB"/>
    <w:rsid w:val="00124DE3"/>
    <w:rsid w:val="00126230"/>
    <w:rsid w:val="00133E63"/>
    <w:rsid w:val="001405B9"/>
    <w:rsid w:val="00147C91"/>
    <w:rsid w:val="00153B60"/>
    <w:rsid w:val="0015407C"/>
    <w:rsid w:val="001567A9"/>
    <w:rsid w:val="001631A1"/>
    <w:rsid w:val="00171152"/>
    <w:rsid w:val="001776C4"/>
    <w:rsid w:val="001779DA"/>
    <w:rsid w:val="001800B7"/>
    <w:rsid w:val="00185C2C"/>
    <w:rsid w:val="00186C39"/>
    <w:rsid w:val="00187545"/>
    <w:rsid w:val="0019195E"/>
    <w:rsid w:val="001A0CB4"/>
    <w:rsid w:val="001A33BE"/>
    <w:rsid w:val="001B3EC4"/>
    <w:rsid w:val="001B583A"/>
    <w:rsid w:val="001B5B0C"/>
    <w:rsid w:val="001C2B1E"/>
    <w:rsid w:val="001C4A5C"/>
    <w:rsid w:val="001C4A6B"/>
    <w:rsid w:val="001C7B0E"/>
    <w:rsid w:val="001E1FEE"/>
    <w:rsid w:val="001E29DD"/>
    <w:rsid w:val="001E3364"/>
    <w:rsid w:val="001E7413"/>
    <w:rsid w:val="001F29B3"/>
    <w:rsid w:val="001F3EA5"/>
    <w:rsid w:val="001F609D"/>
    <w:rsid w:val="00200172"/>
    <w:rsid w:val="002004EE"/>
    <w:rsid w:val="002017E1"/>
    <w:rsid w:val="002023F7"/>
    <w:rsid w:val="0020692D"/>
    <w:rsid w:val="00212CA5"/>
    <w:rsid w:val="00215A9B"/>
    <w:rsid w:val="00216DC2"/>
    <w:rsid w:val="00216F6F"/>
    <w:rsid w:val="0022157C"/>
    <w:rsid w:val="002234C8"/>
    <w:rsid w:val="00223643"/>
    <w:rsid w:val="00226877"/>
    <w:rsid w:val="00226D5E"/>
    <w:rsid w:val="002305F7"/>
    <w:rsid w:val="002311BE"/>
    <w:rsid w:val="00232068"/>
    <w:rsid w:val="002332F4"/>
    <w:rsid w:val="0023353E"/>
    <w:rsid w:val="00235128"/>
    <w:rsid w:val="00241BA1"/>
    <w:rsid w:val="00250BE9"/>
    <w:rsid w:val="00251229"/>
    <w:rsid w:val="00251357"/>
    <w:rsid w:val="00252AA7"/>
    <w:rsid w:val="00256B05"/>
    <w:rsid w:val="00264F45"/>
    <w:rsid w:val="002657ED"/>
    <w:rsid w:val="00270F8F"/>
    <w:rsid w:val="00273299"/>
    <w:rsid w:val="002831BC"/>
    <w:rsid w:val="0028346D"/>
    <w:rsid w:val="00283BDC"/>
    <w:rsid w:val="00283ECE"/>
    <w:rsid w:val="00287846"/>
    <w:rsid w:val="00290089"/>
    <w:rsid w:val="0029105B"/>
    <w:rsid w:val="002920C9"/>
    <w:rsid w:val="0029241F"/>
    <w:rsid w:val="00294EFD"/>
    <w:rsid w:val="002951AF"/>
    <w:rsid w:val="002A613A"/>
    <w:rsid w:val="002A66FD"/>
    <w:rsid w:val="002B68A9"/>
    <w:rsid w:val="002B76F8"/>
    <w:rsid w:val="002C7BF3"/>
    <w:rsid w:val="002E7EF7"/>
    <w:rsid w:val="002F171C"/>
    <w:rsid w:val="002F6F92"/>
    <w:rsid w:val="00301172"/>
    <w:rsid w:val="0030359A"/>
    <w:rsid w:val="00305D69"/>
    <w:rsid w:val="00306278"/>
    <w:rsid w:val="00311F96"/>
    <w:rsid w:val="00316420"/>
    <w:rsid w:val="00317880"/>
    <w:rsid w:val="003215AF"/>
    <w:rsid w:val="003229A7"/>
    <w:rsid w:val="0033227C"/>
    <w:rsid w:val="00332C53"/>
    <w:rsid w:val="003405F5"/>
    <w:rsid w:val="00342BBB"/>
    <w:rsid w:val="003447B6"/>
    <w:rsid w:val="0034481C"/>
    <w:rsid w:val="00364D07"/>
    <w:rsid w:val="0037139E"/>
    <w:rsid w:val="00382D44"/>
    <w:rsid w:val="00383574"/>
    <w:rsid w:val="00386265"/>
    <w:rsid w:val="003944D3"/>
    <w:rsid w:val="00394A20"/>
    <w:rsid w:val="003955D0"/>
    <w:rsid w:val="00397340"/>
    <w:rsid w:val="003A067B"/>
    <w:rsid w:val="003A3B98"/>
    <w:rsid w:val="003A42E1"/>
    <w:rsid w:val="003A4AB6"/>
    <w:rsid w:val="003A77E4"/>
    <w:rsid w:val="003B0887"/>
    <w:rsid w:val="003B2361"/>
    <w:rsid w:val="003B2D91"/>
    <w:rsid w:val="003B6932"/>
    <w:rsid w:val="003C22DE"/>
    <w:rsid w:val="003C79EC"/>
    <w:rsid w:val="003D3029"/>
    <w:rsid w:val="003D5BBA"/>
    <w:rsid w:val="003D5D19"/>
    <w:rsid w:val="003D6901"/>
    <w:rsid w:val="003E1DC2"/>
    <w:rsid w:val="003E30EF"/>
    <w:rsid w:val="003E77F3"/>
    <w:rsid w:val="003F32D1"/>
    <w:rsid w:val="003F420D"/>
    <w:rsid w:val="003F5DA4"/>
    <w:rsid w:val="004035C5"/>
    <w:rsid w:val="00406030"/>
    <w:rsid w:val="004061B6"/>
    <w:rsid w:val="00407ACC"/>
    <w:rsid w:val="00407D77"/>
    <w:rsid w:val="004118D0"/>
    <w:rsid w:val="00420FCC"/>
    <w:rsid w:val="0042221B"/>
    <w:rsid w:val="0042305F"/>
    <w:rsid w:val="00423B19"/>
    <w:rsid w:val="00424170"/>
    <w:rsid w:val="004251FE"/>
    <w:rsid w:val="00426F67"/>
    <w:rsid w:val="00437C55"/>
    <w:rsid w:val="00450120"/>
    <w:rsid w:val="0045042C"/>
    <w:rsid w:val="00450789"/>
    <w:rsid w:val="004579C1"/>
    <w:rsid w:val="00461B6F"/>
    <w:rsid w:val="0046423A"/>
    <w:rsid w:val="004664B1"/>
    <w:rsid w:val="00470740"/>
    <w:rsid w:val="00471AC1"/>
    <w:rsid w:val="00474049"/>
    <w:rsid w:val="004855E2"/>
    <w:rsid w:val="00491927"/>
    <w:rsid w:val="004A0D2E"/>
    <w:rsid w:val="004A556D"/>
    <w:rsid w:val="004A6105"/>
    <w:rsid w:val="004A66E5"/>
    <w:rsid w:val="004C0C16"/>
    <w:rsid w:val="004C2117"/>
    <w:rsid w:val="004C3125"/>
    <w:rsid w:val="004D0A92"/>
    <w:rsid w:val="004E0DA2"/>
    <w:rsid w:val="004E2EB7"/>
    <w:rsid w:val="004F4C07"/>
    <w:rsid w:val="004F621D"/>
    <w:rsid w:val="00501936"/>
    <w:rsid w:val="00504594"/>
    <w:rsid w:val="005061F4"/>
    <w:rsid w:val="00511209"/>
    <w:rsid w:val="005127E5"/>
    <w:rsid w:val="00513F56"/>
    <w:rsid w:val="0051448E"/>
    <w:rsid w:val="00514B08"/>
    <w:rsid w:val="005212BF"/>
    <w:rsid w:val="00522A59"/>
    <w:rsid w:val="005242DE"/>
    <w:rsid w:val="00532596"/>
    <w:rsid w:val="005353E7"/>
    <w:rsid w:val="0056353B"/>
    <w:rsid w:val="00566964"/>
    <w:rsid w:val="00567C9A"/>
    <w:rsid w:val="00572A85"/>
    <w:rsid w:val="00576A2F"/>
    <w:rsid w:val="0057761D"/>
    <w:rsid w:val="00577840"/>
    <w:rsid w:val="00581BA8"/>
    <w:rsid w:val="00584928"/>
    <w:rsid w:val="00586D02"/>
    <w:rsid w:val="005870AA"/>
    <w:rsid w:val="005876B5"/>
    <w:rsid w:val="00587933"/>
    <w:rsid w:val="005916ED"/>
    <w:rsid w:val="00591A82"/>
    <w:rsid w:val="00591F8C"/>
    <w:rsid w:val="005926BD"/>
    <w:rsid w:val="005948FC"/>
    <w:rsid w:val="0059537A"/>
    <w:rsid w:val="005A4986"/>
    <w:rsid w:val="005A7C2D"/>
    <w:rsid w:val="005B42D8"/>
    <w:rsid w:val="005B4DFA"/>
    <w:rsid w:val="005C155A"/>
    <w:rsid w:val="005C510B"/>
    <w:rsid w:val="005C64E5"/>
    <w:rsid w:val="005C688C"/>
    <w:rsid w:val="005D5EC5"/>
    <w:rsid w:val="005F0975"/>
    <w:rsid w:val="005F4EB6"/>
    <w:rsid w:val="00601087"/>
    <w:rsid w:val="00601214"/>
    <w:rsid w:val="006014D7"/>
    <w:rsid w:val="0060207D"/>
    <w:rsid w:val="0060322C"/>
    <w:rsid w:val="00604577"/>
    <w:rsid w:val="00604663"/>
    <w:rsid w:val="00607097"/>
    <w:rsid w:val="006075EE"/>
    <w:rsid w:val="0061137F"/>
    <w:rsid w:val="00614BFC"/>
    <w:rsid w:val="00615B55"/>
    <w:rsid w:val="00615C5B"/>
    <w:rsid w:val="00620DF7"/>
    <w:rsid w:val="00621C06"/>
    <w:rsid w:val="00625AFE"/>
    <w:rsid w:val="006267DA"/>
    <w:rsid w:val="00626F86"/>
    <w:rsid w:val="0063376E"/>
    <w:rsid w:val="00634F88"/>
    <w:rsid w:val="006471BC"/>
    <w:rsid w:val="00647A54"/>
    <w:rsid w:val="00647C81"/>
    <w:rsid w:val="00650A79"/>
    <w:rsid w:val="00652B38"/>
    <w:rsid w:val="00652D42"/>
    <w:rsid w:val="0065673D"/>
    <w:rsid w:val="006636A3"/>
    <w:rsid w:val="0066764F"/>
    <w:rsid w:val="00674180"/>
    <w:rsid w:val="006806A6"/>
    <w:rsid w:val="00683977"/>
    <w:rsid w:val="00684B7F"/>
    <w:rsid w:val="00686B54"/>
    <w:rsid w:val="00692ED1"/>
    <w:rsid w:val="00694DC4"/>
    <w:rsid w:val="00694E2A"/>
    <w:rsid w:val="00695366"/>
    <w:rsid w:val="00697446"/>
    <w:rsid w:val="006A4762"/>
    <w:rsid w:val="006B1964"/>
    <w:rsid w:val="006D557F"/>
    <w:rsid w:val="006E0E34"/>
    <w:rsid w:val="006E57CC"/>
    <w:rsid w:val="006F3DD0"/>
    <w:rsid w:val="006F619B"/>
    <w:rsid w:val="0070350E"/>
    <w:rsid w:val="00703785"/>
    <w:rsid w:val="00704368"/>
    <w:rsid w:val="0071005A"/>
    <w:rsid w:val="00712616"/>
    <w:rsid w:val="00716DA2"/>
    <w:rsid w:val="00720FB9"/>
    <w:rsid w:val="007226F3"/>
    <w:rsid w:val="0072467A"/>
    <w:rsid w:val="00732ED7"/>
    <w:rsid w:val="0073533F"/>
    <w:rsid w:val="0073670E"/>
    <w:rsid w:val="007368F0"/>
    <w:rsid w:val="00742324"/>
    <w:rsid w:val="00742359"/>
    <w:rsid w:val="00757443"/>
    <w:rsid w:val="0076002C"/>
    <w:rsid w:val="007627A2"/>
    <w:rsid w:val="00774ECE"/>
    <w:rsid w:val="00777F70"/>
    <w:rsid w:val="0078062B"/>
    <w:rsid w:val="007B0CDC"/>
    <w:rsid w:val="007B0FD5"/>
    <w:rsid w:val="007B244A"/>
    <w:rsid w:val="007B3A39"/>
    <w:rsid w:val="007C0469"/>
    <w:rsid w:val="007D051B"/>
    <w:rsid w:val="007D3F29"/>
    <w:rsid w:val="007D661E"/>
    <w:rsid w:val="007E14D7"/>
    <w:rsid w:val="007E2D4E"/>
    <w:rsid w:val="007E3EEF"/>
    <w:rsid w:val="007E570D"/>
    <w:rsid w:val="007E6329"/>
    <w:rsid w:val="007E725D"/>
    <w:rsid w:val="007F0E28"/>
    <w:rsid w:val="00803261"/>
    <w:rsid w:val="00807062"/>
    <w:rsid w:val="00814C2E"/>
    <w:rsid w:val="0081529D"/>
    <w:rsid w:val="008158E3"/>
    <w:rsid w:val="008170A1"/>
    <w:rsid w:val="008260BA"/>
    <w:rsid w:val="0083079C"/>
    <w:rsid w:val="00831C8B"/>
    <w:rsid w:val="0083610B"/>
    <w:rsid w:val="008378F5"/>
    <w:rsid w:val="008428C8"/>
    <w:rsid w:val="0084304A"/>
    <w:rsid w:val="008520E4"/>
    <w:rsid w:val="008616EA"/>
    <w:rsid w:val="00862988"/>
    <w:rsid w:val="00864593"/>
    <w:rsid w:val="00864739"/>
    <w:rsid w:val="0087335B"/>
    <w:rsid w:val="0087539E"/>
    <w:rsid w:val="00877118"/>
    <w:rsid w:val="008777F3"/>
    <w:rsid w:val="00877D1C"/>
    <w:rsid w:val="00880CFE"/>
    <w:rsid w:val="00893E59"/>
    <w:rsid w:val="0089620B"/>
    <w:rsid w:val="0089785F"/>
    <w:rsid w:val="008A5D74"/>
    <w:rsid w:val="008B2144"/>
    <w:rsid w:val="008B253E"/>
    <w:rsid w:val="008B379B"/>
    <w:rsid w:val="008C0D95"/>
    <w:rsid w:val="008C26A4"/>
    <w:rsid w:val="008C55A0"/>
    <w:rsid w:val="008D0E64"/>
    <w:rsid w:val="008D2195"/>
    <w:rsid w:val="008D37C1"/>
    <w:rsid w:val="008E178B"/>
    <w:rsid w:val="008E55BB"/>
    <w:rsid w:val="008F559D"/>
    <w:rsid w:val="009028F9"/>
    <w:rsid w:val="009037C2"/>
    <w:rsid w:val="00903B45"/>
    <w:rsid w:val="00904BE0"/>
    <w:rsid w:val="00905A7B"/>
    <w:rsid w:val="00906BB6"/>
    <w:rsid w:val="0091364D"/>
    <w:rsid w:val="0092019E"/>
    <w:rsid w:val="00920CD3"/>
    <w:rsid w:val="009231B9"/>
    <w:rsid w:val="00923610"/>
    <w:rsid w:val="00926A30"/>
    <w:rsid w:val="009276E3"/>
    <w:rsid w:val="0093332A"/>
    <w:rsid w:val="009345DE"/>
    <w:rsid w:val="009347C4"/>
    <w:rsid w:val="0093503F"/>
    <w:rsid w:val="0094513B"/>
    <w:rsid w:val="00947193"/>
    <w:rsid w:val="00952F6A"/>
    <w:rsid w:val="00955C2E"/>
    <w:rsid w:val="009648B8"/>
    <w:rsid w:val="00965C42"/>
    <w:rsid w:val="00971482"/>
    <w:rsid w:val="00987462"/>
    <w:rsid w:val="0099661C"/>
    <w:rsid w:val="00996685"/>
    <w:rsid w:val="009A0E96"/>
    <w:rsid w:val="009A1EEE"/>
    <w:rsid w:val="009A25DD"/>
    <w:rsid w:val="009D0A4C"/>
    <w:rsid w:val="009D205C"/>
    <w:rsid w:val="009D4DB0"/>
    <w:rsid w:val="009E3105"/>
    <w:rsid w:val="009E686A"/>
    <w:rsid w:val="009F4984"/>
    <w:rsid w:val="00A05AB9"/>
    <w:rsid w:val="00A06CD4"/>
    <w:rsid w:val="00A078D5"/>
    <w:rsid w:val="00A07EDE"/>
    <w:rsid w:val="00A117A9"/>
    <w:rsid w:val="00A12FE7"/>
    <w:rsid w:val="00A1322C"/>
    <w:rsid w:val="00A13A1B"/>
    <w:rsid w:val="00A22527"/>
    <w:rsid w:val="00A244CA"/>
    <w:rsid w:val="00A2682F"/>
    <w:rsid w:val="00A30BB2"/>
    <w:rsid w:val="00A30BD8"/>
    <w:rsid w:val="00A3362D"/>
    <w:rsid w:val="00A40A5D"/>
    <w:rsid w:val="00A42614"/>
    <w:rsid w:val="00A46612"/>
    <w:rsid w:val="00A5604A"/>
    <w:rsid w:val="00A60971"/>
    <w:rsid w:val="00A720D2"/>
    <w:rsid w:val="00A77459"/>
    <w:rsid w:val="00A83491"/>
    <w:rsid w:val="00A90B94"/>
    <w:rsid w:val="00A93B43"/>
    <w:rsid w:val="00A958E6"/>
    <w:rsid w:val="00A95C15"/>
    <w:rsid w:val="00A97DCB"/>
    <w:rsid w:val="00AA2D8E"/>
    <w:rsid w:val="00AA430A"/>
    <w:rsid w:val="00AB56A2"/>
    <w:rsid w:val="00AB6399"/>
    <w:rsid w:val="00AB759B"/>
    <w:rsid w:val="00AC3E50"/>
    <w:rsid w:val="00AC44F6"/>
    <w:rsid w:val="00AC6427"/>
    <w:rsid w:val="00AC6CAF"/>
    <w:rsid w:val="00AD2BF0"/>
    <w:rsid w:val="00AE0983"/>
    <w:rsid w:val="00AE14E8"/>
    <w:rsid w:val="00AE2094"/>
    <w:rsid w:val="00AE361B"/>
    <w:rsid w:val="00AE4CED"/>
    <w:rsid w:val="00AE667A"/>
    <w:rsid w:val="00AF14B7"/>
    <w:rsid w:val="00AF45E6"/>
    <w:rsid w:val="00AF6A2C"/>
    <w:rsid w:val="00B003EF"/>
    <w:rsid w:val="00B04C82"/>
    <w:rsid w:val="00B06C36"/>
    <w:rsid w:val="00B154EA"/>
    <w:rsid w:val="00B21D9C"/>
    <w:rsid w:val="00B234BD"/>
    <w:rsid w:val="00B25E57"/>
    <w:rsid w:val="00B26B79"/>
    <w:rsid w:val="00B26C61"/>
    <w:rsid w:val="00B2789E"/>
    <w:rsid w:val="00B30EF8"/>
    <w:rsid w:val="00B353DD"/>
    <w:rsid w:val="00B35BF7"/>
    <w:rsid w:val="00B372BD"/>
    <w:rsid w:val="00B4055C"/>
    <w:rsid w:val="00B40576"/>
    <w:rsid w:val="00B40EEB"/>
    <w:rsid w:val="00B41E32"/>
    <w:rsid w:val="00B44F1D"/>
    <w:rsid w:val="00B46DFB"/>
    <w:rsid w:val="00B57465"/>
    <w:rsid w:val="00B57AA9"/>
    <w:rsid w:val="00B6261F"/>
    <w:rsid w:val="00B642AF"/>
    <w:rsid w:val="00B6453A"/>
    <w:rsid w:val="00B65663"/>
    <w:rsid w:val="00B65A95"/>
    <w:rsid w:val="00B66C3C"/>
    <w:rsid w:val="00B66DBD"/>
    <w:rsid w:val="00B72CE0"/>
    <w:rsid w:val="00B7527B"/>
    <w:rsid w:val="00B7683A"/>
    <w:rsid w:val="00B77333"/>
    <w:rsid w:val="00B80538"/>
    <w:rsid w:val="00B820F9"/>
    <w:rsid w:val="00B82DA3"/>
    <w:rsid w:val="00BA0E96"/>
    <w:rsid w:val="00BA39BC"/>
    <w:rsid w:val="00BA3FBB"/>
    <w:rsid w:val="00BA63D3"/>
    <w:rsid w:val="00BA6D88"/>
    <w:rsid w:val="00BA7B0E"/>
    <w:rsid w:val="00BB436C"/>
    <w:rsid w:val="00BB624A"/>
    <w:rsid w:val="00BB647C"/>
    <w:rsid w:val="00BB7611"/>
    <w:rsid w:val="00BB7857"/>
    <w:rsid w:val="00BC6465"/>
    <w:rsid w:val="00BC6B9B"/>
    <w:rsid w:val="00BD3A5C"/>
    <w:rsid w:val="00BD7340"/>
    <w:rsid w:val="00BE0BA5"/>
    <w:rsid w:val="00BE10DE"/>
    <w:rsid w:val="00BE199E"/>
    <w:rsid w:val="00BE2C96"/>
    <w:rsid w:val="00BE2EFC"/>
    <w:rsid w:val="00BE3E76"/>
    <w:rsid w:val="00BE72B6"/>
    <w:rsid w:val="00BE79FA"/>
    <w:rsid w:val="00BF50DB"/>
    <w:rsid w:val="00C00508"/>
    <w:rsid w:val="00C1401E"/>
    <w:rsid w:val="00C36A65"/>
    <w:rsid w:val="00C41B46"/>
    <w:rsid w:val="00C51243"/>
    <w:rsid w:val="00C52F95"/>
    <w:rsid w:val="00C53ECB"/>
    <w:rsid w:val="00C5766B"/>
    <w:rsid w:val="00C64C61"/>
    <w:rsid w:val="00C67A27"/>
    <w:rsid w:val="00C67D84"/>
    <w:rsid w:val="00C70281"/>
    <w:rsid w:val="00C71A15"/>
    <w:rsid w:val="00C7241F"/>
    <w:rsid w:val="00C75B6F"/>
    <w:rsid w:val="00C80565"/>
    <w:rsid w:val="00C9257C"/>
    <w:rsid w:val="00C93512"/>
    <w:rsid w:val="00C952EC"/>
    <w:rsid w:val="00CA38EE"/>
    <w:rsid w:val="00CB0888"/>
    <w:rsid w:val="00CB098D"/>
    <w:rsid w:val="00CB1568"/>
    <w:rsid w:val="00CB21B9"/>
    <w:rsid w:val="00CC6A2D"/>
    <w:rsid w:val="00CC6FC0"/>
    <w:rsid w:val="00CD2710"/>
    <w:rsid w:val="00CD2FE8"/>
    <w:rsid w:val="00CD32F9"/>
    <w:rsid w:val="00CD5FEA"/>
    <w:rsid w:val="00CD67A8"/>
    <w:rsid w:val="00CE41CE"/>
    <w:rsid w:val="00CF4E2A"/>
    <w:rsid w:val="00CF5AFD"/>
    <w:rsid w:val="00CF691F"/>
    <w:rsid w:val="00CF7847"/>
    <w:rsid w:val="00D03B38"/>
    <w:rsid w:val="00D178E3"/>
    <w:rsid w:val="00D22AA1"/>
    <w:rsid w:val="00D22C05"/>
    <w:rsid w:val="00D24894"/>
    <w:rsid w:val="00D2589C"/>
    <w:rsid w:val="00D269B3"/>
    <w:rsid w:val="00D30973"/>
    <w:rsid w:val="00D40684"/>
    <w:rsid w:val="00D43F30"/>
    <w:rsid w:val="00D47A48"/>
    <w:rsid w:val="00D536A0"/>
    <w:rsid w:val="00D55BD2"/>
    <w:rsid w:val="00D609EE"/>
    <w:rsid w:val="00D77023"/>
    <w:rsid w:val="00D80110"/>
    <w:rsid w:val="00D9365D"/>
    <w:rsid w:val="00D954D2"/>
    <w:rsid w:val="00DA3321"/>
    <w:rsid w:val="00DA3A41"/>
    <w:rsid w:val="00DA4263"/>
    <w:rsid w:val="00DB0230"/>
    <w:rsid w:val="00DB2D4B"/>
    <w:rsid w:val="00DB2E6F"/>
    <w:rsid w:val="00DB378C"/>
    <w:rsid w:val="00DC679E"/>
    <w:rsid w:val="00DD52C3"/>
    <w:rsid w:val="00DD6853"/>
    <w:rsid w:val="00DE15DD"/>
    <w:rsid w:val="00DE58F2"/>
    <w:rsid w:val="00DE73DB"/>
    <w:rsid w:val="00DF2168"/>
    <w:rsid w:val="00DF2BAB"/>
    <w:rsid w:val="00E06082"/>
    <w:rsid w:val="00E06541"/>
    <w:rsid w:val="00E07FA1"/>
    <w:rsid w:val="00E15787"/>
    <w:rsid w:val="00E159A4"/>
    <w:rsid w:val="00E165D8"/>
    <w:rsid w:val="00E16A45"/>
    <w:rsid w:val="00E30B15"/>
    <w:rsid w:val="00E311C7"/>
    <w:rsid w:val="00E3350A"/>
    <w:rsid w:val="00E33F74"/>
    <w:rsid w:val="00E41E3D"/>
    <w:rsid w:val="00E45B8B"/>
    <w:rsid w:val="00E46F58"/>
    <w:rsid w:val="00E5129F"/>
    <w:rsid w:val="00E52DAB"/>
    <w:rsid w:val="00E542F6"/>
    <w:rsid w:val="00E5743C"/>
    <w:rsid w:val="00E6390C"/>
    <w:rsid w:val="00E64129"/>
    <w:rsid w:val="00E66841"/>
    <w:rsid w:val="00E7328F"/>
    <w:rsid w:val="00E81A1A"/>
    <w:rsid w:val="00E9067A"/>
    <w:rsid w:val="00E930E3"/>
    <w:rsid w:val="00E94420"/>
    <w:rsid w:val="00E964AE"/>
    <w:rsid w:val="00EB067E"/>
    <w:rsid w:val="00EB3A4E"/>
    <w:rsid w:val="00EB52BB"/>
    <w:rsid w:val="00EB5588"/>
    <w:rsid w:val="00EC1F40"/>
    <w:rsid w:val="00EC34B4"/>
    <w:rsid w:val="00EC4C67"/>
    <w:rsid w:val="00EE0E29"/>
    <w:rsid w:val="00EE121A"/>
    <w:rsid w:val="00EE2097"/>
    <w:rsid w:val="00EE37C8"/>
    <w:rsid w:val="00EF39C4"/>
    <w:rsid w:val="00EF714D"/>
    <w:rsid w:val="00F04047"/>
    <w:rsid w:val="00F042E1"/>
    <w:rsid w:val="00F138EF"/>
    <w:rsid w:val="00F16C32"/>
    <w:rsid w:val="00F17A43"/>
    <w:rsid w:val="00F17E09"/>
    <w:rsid w:val="00F22372"/>
    <w:rsid w:val="00F26F26"/>
    <w:rsid w:val="00F27B9A"/>
    <w:rsid w:val="00F32F8C"/>
    <w:rsid w:val="00F3332C"/>
    <w:rsid w:val="00F35331"/>
    <w:rsid w:val="00F36B59"/>
    <w:rsid w:val="00F37912"/>
    <w:rsid w:val="00F40D6D"/>
    <w:rsid w:val="00F42614"/>
    <w:rsid w:val="00F43354"/>
    <w:rsid w:val="00F45C61"/>
    <w:rsid w:val="00F509B9"/>
    <w:rsid w:val="00F51327"/>
    <w:rsid w:val="00F51371"/>
    <w:rsid w:val="00F51928"/>
    <w:rsid w:val="00F53C1D"/>
    <w:rsid w:val="00F53F91"/>
    <w:rsid w:val="00F63510"/>
    <w:rsid w:val="00F74527"/>
    <w:rsid w:val="00F7687B"/>
    <w:rsid w:val="00F85E03"/>
    <w:rsid w:val="00F86140"/>
    <w:rsid w:val="00F91C57"/>
    <w:rsid w:val="00F92C64"/>
    <w:rsid w:val="00F95C07"/>
    <w:rsid w:val="00F96CD0"/>
    <w:rsid w:val="00FA3068"/>
    <w:rsid w:val="00FA4A17"/>
    <w:rsid w:val="00FA6AA8"/>
    <w:rsid w:val="00FA704F"/>
    <w:rsid w:val="00FB176F"/>
    <w:rsid w:val="00FB48C8"/>
    <w:rsid w:val="00FB51F8"/>
    <w:rsid w:val="00FB7EDA"/>
    <w:rsid w:val="00FC623D"/>
    <w:rsid w:val="00FC6C77"/>
    <w:rsid w:val="00FD37A8"/>
    <w:rsid w:val="00FD502D"/>
    <w:rsid w:val="00FE01BB"/>
    <w:rsid w:val="00FF0AFA"/>
    <w:rsid w:val="00FF26B7"/>
    <w:rsid w:val="00FF390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1E9BC"/>
  <w15:chartTrackingRefBased/>
  <w15:docId w15:val="{49BAFEDA-C48A-4BA1-BC4C-0FE5A33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42"/>
  </w:style>
  <w:style w:type="paragraph" w:styleId="Heading1">
    <w:name w:val="heading 1"/>
    <w:basedOn w:val="Normal"/>
    <w:next w:val="Normal"/>
    <w:link w:val="Heading1Char"/>
    <w:uiPriority w:val="9"/>
    <w:qFormat/>
    <w:rsid w:val="008C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6C5"/>
    <w:pPr>
      <w:keepNext/>
      <w:keepLines/>
      <w:spacing w:before="40" w:beforeAutospacing="1" w:after="0" w:line="240" w:lineRule="auto"/>
      <w:outlineLvl w:val="1"/>
    </w:pPr>
    <w:rPr>
      <w:rFonts w:eastAsiaTheme="majorEastAsia" w:cstheme="majorBidi"/>
      <w:b/>
      <w:kern w:val="28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229A7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986"/>
    <w:pPr>
      <w:keepNext/>
      <w:keepLines/>
      <w:spacing w:before="40" w:beforeAutospacing="1" w:after="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20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97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97"/>
    <w:rPr>
      <w:rFonts w:ascii="Calibri" w:hAnsi="Calibri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2155"/>
  </w:style>
  <w:style w:type="paragraph" w:customStyle="1" w:styleId="Default">
    <w:name w:val="Default"/>
    <w:rsid w:val="00042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0421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B5A"/>
    <w:pPr>
      <w:spacing w:before="100" w:beforeAutospacing="1"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B5A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A4986"/>
    <w:rPr>
      <w:rFonts w:eastAsiaTheme="majorEastAsia" w:cstheme="majorBidi"/>
      <w:b/>
      <w:iCs/>
      <w:sz w:val="24"/>
    </w:rPr>
  </w:style>
  <w:style w:type="character" w:styleId="Hyperlink">
    <w:name w:val="Hyperlink"/>
    <w:basedOn w:val="DefaultParagraphFont"/>
    <w:uiPriority w:val="99"/>
    <w:unhideWhenUsed/>
    <w:rsid w:val="005A49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5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66C5"/>
    <w:rPr>
      <w:rFonts w:eastAsiaTheme="majorEastAsia" w:cstheme="majorBidi"/>
      <w:b/>
      <w:kern w:val="28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55A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C55A0"/>
    <w:rPr>
      <w:sz w:val="24"/>
    </w:rPr>
  </w:style>
  <w:style w:type="paragraph" w:customStyle="1" w:styleId="Bullets">
    <w:name w:val="Bullets"/>
    <w:basedOn w:val="ListParagraph"/>
    <w:qFormat/>
    <w:rsid w:val="008C55A0"/>
    <w:pPr>
      <w:numPr>
        <w:ilvl w:val="1"/>
        <w:numId w:val="12"/>
      </w:numPr>
      <w:tabs>
        <w:tab w:val="left" w:pos="709"/>
      </w:tabs>
      <w:spacing w:before="100" w:beforeAutospacing="1" w:after="200" w:line="276" w:lineRule="auto"/>
    </w:pPr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C55A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C55A0"/>
    <w:pPr>
      <w:spacing w:beforeAutospacing="1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C55A0"/>
    <w:pPr>
      <w:spacing w:before="100" w:beforeAutospacing="1"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C55A0"/>
    <w:pPr>
      <w:spacing w:before="100" w:beforeAutospacing="1" w:after="100"/>
      <w:ind w:left="24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A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29A7"/>
    <w:rPr>
      <w:rFonts w:eastAsiaTheme="majorEastAsia" w:cstheme="majorBidi"/>
      <w:b/>
      <w:kern w:val="28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229A7"/>
    <w:pPr>
      <w:tabs>
        <w:tab w:val="right" w:leader="dot" w:pos="9016"/>
      </w:tabs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CD67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AA8"/>
    <w:pPr>
      <w:spacing w:before="0" w:beforeAutospacing="0"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A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E2A"/>
    <w:pPr>
      <w:spacing w:after="0" w:line="240" w:lineRule="auto"/>
    </w:pPr>
  </w:style>
  <w:style w:type="character" w:customStyle="1" w:styleId="ablistChar">
    <w:name w:val="a) b) list Char"/>
    <w:basedOn w:val="DefaultParagraphFont"/>
    <w:link w:val="ablist"/>
    <w:locked/>
    <w:rsid w:val="001B583A"/>
  </w:style>
  <w:style w:type="paragraph" w:customStyle="1" w:styleId="ablist">
    <w:name w:val="a) b) list"/>
    <w:basedOn w:val="Normal"/>
    <w:link w:val="ablistChar"/>
    <w:rsid w:val="001B583A"/>
    <w:pPr>
      <w:tabs>
        <w:tab w:val="num" w:pos="360"/>
      </w:tabs>
      <w:spacing w:before="120" w:after="12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a.org.nz/About-GIA/Governance" TargetMode="External"/><Relationship Id="rId18" Type="http://schemas.openxmlformats.org/officeDocument/2006/relationships/hyperlink" Target="http://www.gia.org.nz/Activities/Fruit-Fly-Management" TargetMode="External"/><Relationship Id="rId26" Type="http://schemas.openxmlformats.org/officeDocument/2006/relationships/hyperlink" Target="http://www.pmac.co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iritahi.cohesion.net.nz/Sites/GOV/BGB/SupportingDocuments/BB%20Charter%20v1.0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gia.org.nz/About-GIA/Governance" TargetMode="External"/><Relationship Id="rId17" Type="http://schemas.openxmlformats.org/officeDocument/2006/relationships/hyperlink" Target="http://www.gia.org.nz" TargetMode="External"/><Relationship Id="rId25" Type="http://schemas.openxmlformats.org/officeDocument/2006/relationships/hyperlink" Target="mailto:PlantImports@mpi.govt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ia.org.nz/About-GIA/Governance" TargetMode="External"/><Relationship Id="rId20" Type="http://schemas.openxmlformats.org/officeDocument/2006/relationships/hyperlink" Target="http://www.gia.org.nz/Activities/FMD-Counci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ia.org.nz" TargetMode="External"/><Relationship Id="rId24" Type="http://schemas.openxmlformats.org/officeDocument/2006/relationships/hyperlink" Target="mailto:animalexports@mpi.govt.nz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gia.org.nz/News-Events/articleType/CategoryView/categoryId/467/Biosecurity-Forum" TargetMode="External"/><Relationship Id="rId23" Type="http://schemas.openxmlformats.org/officeDocument/2006/relationships/hyperlink" Target="https://www.google.co.nz/url?sa=t&amp;rct=j&amp;q=&amp;esrc=s&amp;source=web&amp;cd=2&amp;cad=rja&amp;uact=8&amp;ved=0ahUKEwjQvp2F-rLOAhXLmZQKHQdcBXkQFggkMAE&amp;url=https%3A%2F%2Fwww.mpi.govt.nz%2Fdocument-vault%2F12876&amp;usg=AFQjCNGvTOP_8CL638toe3ALUZG-BCvvVg&amp;bvm=bv.129391328,d.dGo" TargetMode="External"/><Relationship Id="rId28" Type="http://schemas.openxmlformats.org/officeDocument/2006/relationships/hyperlink" Target="http://nginz.co.nz/advocacy/107-226/germa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gia.org.nz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ia.org.nz" TargetMode="External"/><Relationship Id="rId22" Type="http://schemas.openxmlformats.org/officeDocument/2006/relationships/hyperlink" Target="https://www.mpi.govt.nz/about-mpi/governance-and-structure/advisory-committees/biosecurity-ministerial-advisory-committee/" TargetMode="External"/><Relationship Id="rId27" Type="http://schemas.openxmlformats.org/officeDocument/2006/relationships/hyperlink" Target="http://www.mpi.govt.nz/importing/overview/access-and-trade-into-new-zealand/germac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B613AC4768202F4C8CF64EAE117264E4" ma:contentTypeVersion="10" ma:contentTypeDescription="Create a new Word Document" ma:contentTypeScope="" ma:versionID="ff2f91ddf8636e8310acd5fd7f70c7d7">
  <xsd:schema xmlns:xsd="http://www.w3.org/2001/XMLSchema" xmlns:xs="http://www.w3.org/2001/XMLSchema" xmlns:p="http://schemas.microsoft.com/office/2006/metadata/properties" xmlns:ns3="01be4277-2979-4a68-876d-b92b25fceece" xmlns:ns4="ff300edf-a821-4813-ae23-f144a805ade8" xmlns:ns5="http://schemas.microsoft.com/sharepoint/v3/fields" targetNamespace="http://schemas.microsoft.com/office/2006/metadata/properties" ma:root="true" ma:fieldsID="fa7ee44b28ef511107ad3b743a33216a" ns3:_="" ns4:_="" ns5:_="">
    <xsd:import namespace="01be4277-2979-4a68-876d-b92b25fceece"/>
    <xsd:import namespace="ff300edf-a821-4813-ae23-f144a805ad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m57f14219dcc4b68b912ee87d6b1ddba" minOccurs="0"/>
                <xsd:element ref="ns4:PingarLastProcessed" minOccurs="0"/>
                <xsd:element ref="ns4:b5885358d6c24831baec7a0d99fe25c5" minOccurs="0"/>
                <xsd:element ref="ns4:h083e40129b54928942f935d8f11551b" minOccurs="0"/>
                <xsd:element ref="ns5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f9a86213-62e1-4b3e-affa-c42d88c8db6a" ma:anchorId="e4433790-3a69-47a8-99ac-cd1a80fc500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0edf-a821-4813-ae23-f144a805ade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0c0d7b2-6136-49d7-b3cb-e8b85c064e03}" ma:internalName="TaxCatchAll" ma:showField="CatchAllData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0c0d7b2-6136-49d7-b3cb-e8b85c064e03}" ma:internalName="TaxCatchAllLabel" ma:readOnly="true" ma:showField="CatchAllDataLabel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7f14219dcc4b68b912ee87d6b1ddba" ma:index="15" nillable="true" ma:taxonomy="true" ma:internalName="m57f14219dcc4b68b912ee87d6b1ddba" ma:taxonomyFieldName="PingarMPI_Terms" ma:displayName="Derived Terms" ma:fieldId="{657f1421-9dcc-4b68-b912-ee87d6b1ddba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16" nillable="true" ma:displayName="PingarLastProcessed" ma:format="DateTime" ma:internalName="PingarLastProcessed">
      <xsd:simpleType>
        <xsd:restriction base="dms:DateTime"/>
      </xsd:simpleType>
    </xsd:element>
    <xsd:element name="b5885358d6c24831baec7a0d99fe25c5" ma:index="18" nillable="true" ma:taxonomy="true" ma:internalName="b5885358d6c24831baec7a0d99fe25c5" ma:taxonomyFieldName="MPISecurityClassification" ma:displayName="Security Classification" ma:default="1;#None|cf402fa0-b6a8-49a7-a22e-a95b6152c608" ma:fieldId="{b5885358-d6c2-4831-baec-7a0d99fe25c5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83e40129b54928942f935d8f11551b" ma:index="21" nillable="true" ma:taxonomy="true" ma:internalName="h083e40129b54928942f935d8f11551b" ma:taxonomyFieldName="MPIGIADocumentType" ma:displayName="Document Type" ma:default="" ma:fieldId="{1083e401-29b5-4928-942f-935d8f11551b}" ma:sspId="3bfd400a-bb0f-42a8-a885-98b592a0f767" ma:termSetId="a33e5188-c456-448a-8407-ab9596ad59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2" nillable="true" ma:displayName="Status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Obsolet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f300edf-a821-4813-ae23-f144a805ade8">
      <Value>1</Value>
      <Value>6201</Value>
    </TaxCatchAll>
    <PingarLastProcessed xmlns="ff300edf-a821-4813-ae23-f144a805ade8" xsi:nil="true"/>
    <m57f14219dcc4b68b912ee87d6b1ddba xmlns="ff300edf-a821-4813-ae23-f144a805ade8">
      <Terms xmlns="http://schemas.microsoft.com/office/infopath/2007/PartnerControls"/>
    </m57f14219dcc4b68b912ee87d6b1ddba>
    <b5885358d6c24831baec7a0d99fe25c5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b5885358d6c24831baec7a0d99fe25c5>
    <TaxKeywordTaxHTField xmlns="ff300edf-a821-4813-ae23-f144a805ade8">
      <Terms xmlns="http://schemas.microsoft.com/office/infopath/2007/PartnerControls"/>
    </TaxKeywordTaxHTField>
    <_Status xmlns="http://schemas.microsoft.com/sharepoint/v3/fields" xsi:nil="true"/>
    <h083e40129b54928942f935d8f11551b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Documents</TermName>
          <TermId xmlns="http://schemas.microsoft.com/office/infopath/2007/PartnerControls">e23310af-d852-4dbc-a84f-d3678433745c</TermId>
        </TermInfo>
      </Terms>
    </h083e40129b54928942f935d8f11551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12D6-CEDB-48BC-939A-7EF9A7F8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f300edf-a821-4813-ae23-f144a805ad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81C08-6C9A-4349-BC07-EB9AFAF78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270F8-50C9-4114-8305-61A3F9CE965F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f300edf-a821-4813-ae23-f144a805ade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0CE5553-D466-4A18-B81C-A91046BA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Pascoe</dc:creator>
  <cp:keywords/>
  <dc:description/>
  <cp:lastModifiedBy>Amelia Pascoe</cp:lastModifiedBy>
  <cp:revision>3</cp:revision>
  <cp:lastPrinted>2016-12-21T01:58:00Z</cp:lastPrinted>
  <dcterms:created xsi:type="dcterms:W3CDTF">2017-12-11T01:54:00Z</dcterms:created>
  <dcterms:modified xsi:type="dcterms:W3CDTF">2017-12-11T02:03:00Z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0x0101005496552013C0BA46BE88192D5C6EB20B00BC7B51C3C3DA487E91D1E0ED95F8C85C00B613AC4768202F4C8CF64EAE117264E4</vt:lpwstr>
  </property>
  <property fmtid="{D5CDD505-2E9C-101B-9397-08002B2CF9AE}" pid="3" name="TaxKeyword">
    <vt:lpwstr/>
  </property>
  <property fmtid="{D5CDD505-2E9C-101B-9397-08002B2CF9AE}" pid="4" name="MPISecurityClassification">
    <vt:lpwstr>1;#None|cf402fa0-b6a8-49a7-a22e-a95b6152c608</vt:lpwstr>
  </property>
  <property fmtid="{D5CDD505-2E9C-101B-9397-08002B2CF9AE}" pid="5" name="PingarMPI_Terms">
    <vt:lpwstr/>
  </property>
  <property fmtid="{D5CDD505-2E9C-101B-9397-08002B2CF9AE}" pid="6" name="C3Topic">
    <vt:lpwstr/>
  </property>
  <property fmtid="{D5CDD505-2E9C-101B-9397-08002B2CF9AE}" pid="7" name="MPIGIADocumentType">
    <vt:lpwstr>6201;#Project Documents|e23310af-d852-4dbc-a84f-d3678433745c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{3e5d44e2-1180-42f4-943b-5a84801c6665}</vt:lpwstr>
  </property>
  <property fmtid="{D5CDD505-2E9C-101B-9397-08002B2CF9AE}" pid="10" name="RecordPoint_ActiveItemListId">
    <vt:lpwstr>{ed740a5a-205d-401e-87e1-f7184cef04ce}</vt:lpwstr>
  </property>
  <property fmtid="{D5CDD505-2E9C-101B-9397-08002B2CF9AE}" pid="11" name="RecordPoint_ActiveItemUniqueId">
    <vt:lpwstr>{a842b928-3598-49db-b6d4-b16abb06798e}</vt:lpwstr>
  </property>
  <property fmtid="{D5CDD505-2E9C-101B-9397-08002B2CF9AE}" pid="12" name="RecordPoint_ActiveItemWebId">
    <vt:lpwstr>{86708e69-1f7b-4330-ba6a-39c230a55692}</vt:lpwstr>
  </property>
  <property fmtid="{D5CDD505-2E9C-101B-9397-08002B2CF9AE}" pid="13" name="RecordPoint_RecordNumberSubmitted">
    <vt:lpwstr>R0000403012</vt:lpwstr>
  </property>
  <property fmtid="{D5CDD505-2E9C-101B-9397-08002B2CF9AE}" pid="14" name="RecordPoint_SubmissionCompleted">
    <vt:lpwstr>2017-11-22T18:30:55.0194837+13:00</vt:lpwstr>
  </property>
</Properties>
</file>